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CBC6A" w14:textId="77777777" w:rsidR="00F872BA" w:rsidRPr="0097365C" w:rsidRDefault="0042063B">
      <w:r w:rsidRPr="0097365C">
        <w:rPr>
          <w:noProof/>
          <w:lang w:eastAsia="de-DE"/>
        </w:rPr>
        <w:drawing>
          <wp:anchor distT="0" distB="0" distL="114300" distR="114300" simplePos="0" relativeHeight="251651584" behindDoc="0" locked="0" layoutInCell="1" allowOverlap="1" wp14:anchorId="12FCBCF5" wp14:editId="12FCBCF6">
            <wp:simplePos x="0" y="0"/>
            <wp:positionH relativeFrom="margin">
              <wp:align>center</wp:align>
            </wp:positionH>
            <wp:positionV relativeFrom="paragraph">
              <wp:posOffset>-264160</wp:posOffset>
            </wp:positionV>
            <wp:extent cx="1677670" cy="864870"/>
            <wp:effectExtent l="0" t="0" r="0" b="0"/>
            <wp:wrapNone/>
            <wp:docPr id="16" name="Bild 3" descr="NBHX_TRIM_GROUP_logo_entwurf_ohne_ellip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BHX_TRIM_GROUP_logo_entwurf_ohne_ellips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7670" cy="864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FCBC6B" w14:textId="77777777" w:rsidR="00731165" w:rsidRPr="0097365C" w:rsidRDefault="00731165"/>
    <w:p w14:paraId="12FCBC6C" w14:textId="77777777" w:rsidR="00546AE7" w:rsidRPr="0097365C" w:rsidRDefault="00546AE7" w:rsidP="001877B3">
      <w:pPr>
        <w:spacing w:after="0"/>
        <w:jc w:val="center"/>
        <w:rPr>
          <w:b/>
          <w:sz w:val="24"/>
        </w:rPr>
      </w:pPr>
    </w:p>
    <w:p w14:paraId="12FCBC6D" w14:textId="77777777" w:rsidR="00576EFD" w:rsidRPr="0097365C" w:rsidRDefault="00576EFD" w:rsidP="00B96D64">
      <w:pPr>
        <w:spacing w:after="0"/>
        <w:jc w:val="center"/>
        <w:rPr>
          <w:b/>
          <w:sz w:val="24"/>
        </w:rPr>
      </w:pPr>
    </w:p>
    <w:p w14:paraId="12FCBC6E" w14:textId="77777777" w:rsidR="002D396E" w:rsidRPr="0097365C" w:rsidRDefault="002D396E" w:rsidP="00B96D64">
      <w:pPr>
        <w:spacing w:after="0"/>
        <w:jc w:val="center"/>
        <w:rPr>
          <w:b/>
          <w:sz w:val="24"/>
        </w:rPr>
      </w:pPr>
    </w:p>
    <w:p w14:paraId="12FCBC6F" w14:textId="77777777" w:rsidR="001877B3" w:rsidRPr="0097365C" w:rsidRDefault="001877B3" w:rsidP="001877B3">
      <w:pPr>
        <w:spacing w:after="0"/>
        <w:jc w:val="center"/>
        <w:rPr>
          <w:b/>
          <w:sz w:val="8"/>
        </w:rPr>
      </w:pPr>
    </w:p>
    <w:p w14:paraId="12FCBC70" w14:textId="77777777" w:rsidR="002D35F0" w:rsidRPr="0097365C" w:rsidRDefault="002D35F0" w:rsidP="00EA6EE0">
      <w:pPr>
        <w:jc w:val="center"/>
      </w:pPr>
    </w:p>
    <w:p w14:paraId="12FCBC71" w14:textId="6600D162" w:rsidR="001877B3" w:rsidRPr="0097365C" w:rsidRDefault="001877B3" w:rsidP="00717C79"/>
    <w:p w14:paraId="12FCBC72" w14:textId="09D0B0CF" w:rsidR="00CF73EC" w:rsidRPr="00C14A41" w:rsidRDefault="00CF73EC" w:rsidP="00CF73EC">
      <w:pPr>
        <w:pStyle w:val="Kopfzeile"/>
        <w:tabs>
          <w:tab w:val="clear" w:pos="4536"/>
          <w:tab w:val="clear" w:pos="9072"/>
          <w:tab w:val="left" w:pos="3054"/>
        </w:tabs>
        <w:jc w:val="center"/>
        <w:rPr>
          <w:sz w:val="44"/>
          <w:szCs w:val="44"/>
        </w:rPr>
      </w:pPr>
      <w:r w:rsidRPr="00C14A41">
        <w:rPr>
          <w:sz w:val="44"/>
          <w:szCs w:val="44"/>
        </w:rPr>
        <w:t>GEHEIMHALTUNGSVEREINBARUNG</w:t>
      </w:r>
    </w:p>
    <w:p w14:paraId="12FCBC73" w14:textId="77777777" w:rsidR="002D35F0" w:rsidRDefault="002D35F0" w:rsidP="00731165">
      <w:pPr>
        <w:tabs>
          <w:tab w:val="left" w:pos="567"/>
          <w:tab w:val="right" w:pos="9072"/>
        </w:tabs>
        <w:jc w:val="both"/>
        <w:rPr>
          <w:sz w:val="24"/>
        </w:rPr>
      </w:pPr>
    </w:p>
    <w:p w14:paraId="12FCBC74" w14:textId="77777777" w:rsidR="00CF73EC" w:rsidRPr="0097365C" w:rsidRDefault="00CF73EC" w:rsidP="00731165">
      <w:pPr>
        <w:tabs>
          <w:tab w:val="left" w:pos="567"/>
          <w:tab w:val="right" w:pos="9072"/>
        </w:tabs>
        <w:jc w:val="both"/>
        <w:rPr>
          <w:sz w:val="24"/>
        </w:rPr>
      </w:pPr>
    </w:p>
    <w:p w14:paraId="12FCBC75" w14:textId="77777777" w:rsidR="002D35F0" w:rsidRPr="0097365C" w:rsidRDefault="002D35F0" w:rsidP="00731165">
      <w:pPr>
        <w:tabs>
          <w:tab w:val="left" w:pos="567"/>
          <w:tab w:val="right" w:pos="9072"/>
        </w:tabs>
        <w:jc w:val="both"/>
        <w:rPr>
          <w:sz w:val="24"/>
        </w:rPr>
      </w:pPr>
    </w:p>
    <w:p w14:paraId="12FCBC76" w14:textId="77777777" w:rsidR="00C14A41" w:rsidRDefault="00C14A41" w:rsidP="00731165">
      <w:pPr>
        <w:tabs>
          <w:tab w:val="left" w:pos="567"/>
          <w:tab w:val="right" w:pos="9072"/>
        </w:tabs>
        <w:jc w:val="both"/>
        <w:rPr>
          <w:sz w:val="24"/>
        </w:rPr>
      </w:pPr>
    </w:p>
    <w:p w14:paraId="12FCBC77" w14:textId="77777777" w:rsidR="00731165" w:rsidRPr="00C14A41" w:rsidRDefault="00474530" w:rsidP="00731165">
      <w:pPr>
        <w:tabs>
          <w:tab w:val="left" w:pos="567"/>
          <w:tab w:val="right" w:pos="9072"/>
        </w:tabs>
        <w:jc w:val="both"/>
        <w:rPr>
          <w:sz w:val="24"/>
        </w:rPr>
      </w:pPr>
      <w:r w:rsidRPr="00C14A41">
        <w:rPr>
          <w:sz w:val="24"/>
        </w:rPr>
        <w:t>Zwischen</w:t>
      </w:r>
    </w:p>
    <w:p w14:paraId="12FCBC78" w14:textId="77777777" w:rsidR="00731165" w:rsidRPr="0097365C" w:rsidRDefault="00731165" w:rsidP="002D35F0">
      <w:pPr>
        <w:tabs>
          <w:tab w:val="left" w:pos="567"/>
          <w:tab w:val="right" w:pos="9072"/>
        </w:tabs>
        <w:rPr>
          <w:sz w:val="24"/>
        </w:rPr>
      </w:pPr>
      <w:r w:rsidRPr="0097365C">
        <w:rPr>
          <w:b/>
          <w:sz w:val="24"/>
        </w:rPr>
        <w:t>(Partner) Xxxx</w:t>
      </w:r>
      <w:r w:rsidRPr="0097365C">
        <w:rPr>
          <w:b/>
          <w:sz w:val="24"/>
        </w:rPr>
        <w:br/>
      </w:r>
      <w:r w:rsidR="005A7E78" w:rsidRPr="0097365C">
        <w:rPr>
          <w:sz w:val="24"/>
        </w:rPr>
        <w:t>Str</w:t>
      </w:r>
      <w:r w:rsidR="00C137F9">
        <w:rPr>
          <w:sz w:val="24"/>
        </w:rPr>
        <w:t>aße</w:t>
      </w:r>
      <w:r w:rsidRPr="0097365C">
        <w:rPr>
          <w:b/>
          <w:sz w:val="24"/>
        </w:rPr>
        <w:br/>
      </w:r>
      <w:r w:rsidR="00C137F9">
        <w:rPr>
          <w:sz w:val="24"/>
        </w:rPr>
        <w:t>Postleitzahl – Stadt - Land</w:t>
      </w:r>
      <w:r w:rsidRPr="0097365C">
        <w:rPr>
          <w:sz w:val="24"/>
        </w:rPr>
        <w:br/>
        <w:t xml:space="preserve">  </w:t>
      </w:r>
      <w:r w:rsidRPr="0097365C">
        <w:rPr>
          <w:sz w:val="24"/>
        </w:rPr>
        <w:tab/>
      </w:r>
      <w:r w:rsidRPr="0097365C">
        <w:rPr>
          <w:sz w:val="24"/>
        </w:rPr>
        <w:tab/>
        <w:t xml:space="preserve">- </w:t>
      </w:r>
      <w:r w:rsidR="00474530" w:rsidRPr="00C14A41">
        <w:rPr>
          <w:sz w:val="24"/>
          <w:szCs w:val="24"/>
        </w:rPr>
        <w:t>nachstehend</w:t>
      </w:r>
      <w:r w:rsidRPr="00C14A41">
        <w:rPr>
          <w:sz w:val="24"/>
          <w:szCs w:val="24"/>
        </w:rPr>
        <w:t xml:space="preserve"> </w:t>
      </w:r>
      <w:r w:rsidRPr="00C14A41">
        <w:rPr>
          <w:sz w:val="24"/>
        </w:rPr>
        <w:t>"</w:t>
      </w:r>
      <w:r w:rsidRPr="00C14A41">
        <w:rPr>
          <w:b/>
          <w:color w:val="000000"/>
          <w:sz w:val="24"/>
        </w:rPr>
        <w:t>Partner</w:t>
      </w:r>
      <w:r w:rsidRPr="00C14A41">
        <w:rPr>
          <w:sz w:val="24"/>
        </w:rPr>
        <w:t xml:space="preserve">" </w:t>
      </w:r>
      <w:r w:rsidR="00474530" w:rsidRPr="00C14A41">
        <w:rPr>
          <w:sz w:val="24"/>
        </w:rPr>
        <w:t>genannt</w:t>
      </w:r>
      <w:r w:rsidR="002D35F0" w:rsidRPr="0097365C">
        <w:rPr>
          <w:sz w:val="24"/>
        </w:rPr>
        <w:t>-</w:t>
      </w:r>
    </w:p>
    <w:p w14:paraId="12FCBC79" w14:textId="65C300CD" w:rsidR="00731165" w:rsidRPr="00C14A41" w:rsidRDefault="009B77D8" w:rsidP="00731165">
      <w:pPr>
        <w:tabs>
          <w:tab w:val="left" w:pos="567"/>
          <w:tab w:val="right" w:pos="9072"/>
        </w:tabs>
        <w:jc w:val="both"/>
        <w:rPr>
          <w:sz w:val="24"/>
        </w:rPr>
      </w:pPr>
      <w:r>
        <w:rPr>
          <w:sz w:val="24"/>
        </w:rPr>
        <w:t>und</w:t>
      </w:r>
    </w:p>
    <w:p w14:paraId="64E8C774" w14:textId="77777777" w:rsidR="000910EC" w:rsidRDefault="00731165" w:rsidP="00731165">
      <w:pPr>
        <w:tabs>
          <w:tab w:val="left" w:pos="567"/>
          <w:tab w:val="right" w:pos="9072"/>
        </w:tabs>
        <w:rPr>
          <w:b/>
          <w:sz w:val="24"/>
        </w:rPr>
      </w:pPr>
      <w:r w:rsidRPr="0097365C">
        <w:rPr>
          <w:b/>
          <w:sz w:val="24"/>
        </w:rPr>
        <w:t>NBHX TRIM GROUP</w:t>
      </w:r>
    </w:p>
    <w:p w14:paraId="01FAED36" w14:textId="77777777" w:rsidR="000910EC" w:rsidRDefault="000910EC" w:rsidP="00731165">
      <w:pPr>
        <w:tabs>
          <w:tab w:val="left" w:pos="567"/>
          <w:tab w:val="right" w:pos="9072"/>
        </w:tabs>
        <w:rPr>
          <w:b/>
          <w:sz w:val="24"/>
        </w:rPr>
      </w:pPr>
    </w:p>
    <w:p w14:paraId="403A5C8B" w14:textId="74C1F7B9" w:rsidR="003A0529" w:rsidRDefault="003A0529" w:rsidP="00731165">
      <w:pPr>
        <w:tabs>
          <w:tab w:val="left" w:pos="567"/>
          <w:tab w:val="right" w:pos="9072"/>
        </w:tabs>
        <w:rPr>
          <w:b/>
          <w:sz w:val="24"/>
        </w:rPr>
      </w:pPr>
      <w:r>
        <w:rPr>
          <w:b/>
          <w:sz w:val="24"/>
        </w:rPr>
        <w:t>Rechtsgültiger Firmenname eintragen</w:t>
      </w:r>
    </w:p>
    <w:p w14:paraId="12FCBC7A" w14:textId="19FD2102" w:rsidR="00731165" w:rsidRPr="0097365C" w:rsidRDefault="003A0529" w:rsidP="00731165">
      <w:pPr>
        <w:tabs>
          <w:tab w:val="left" w:pos="567"/>
          <w:tab w:val="right" w:pos="9072"/>
        </w:tabs>
        <w:rPr>
          <w:b/>
          <w:sz w:val="8"/>
        </w:rPr>
      </w:pPr>
      <w:r w:rsidRPr="0097365C">
        <w:rPr>
          <w:sz w:val="24"/>
        </w:rPr>
        <w:t>Str</w:t>
      </w:r>
      <w:r>
        <w:rPr>
          <w:sz w:val="24"/>
        </w:rPr>
        <w:t>aße</w:t>
      </w:r>
      <w:r w:rsidRPr="0097365C">
        <w:rPr>
          <w:b/>
          <w:sz w:val="24"/>
        </w:rPr>
        <w:br/>
      </w:r>
      <w:r>
        <w:rPr>
          <w:sz w:val="24"/>
        </w:rPr>
        <w:t>Postleitzahl – Stadt - Land</w:t>
      </w:r>
      <w:r w:rsidR="00731165" w:rsidRPr="0097365C">
        <w:rPr>
          <w:b/>
          <w:sz w:val="24"/>
        </w:rPr>
        <w:br/>
      </w:r>
    </w:p>
    <w:p w14:paraId="12FCBC99" w14:textId="66F901F3" w:rsidR="003A0529" w:rsidRDefault="00202E9B" w:rsidP="00202E9B">
      <w:pPr>
        <w:jc w:val="right"/>
        <w:rPr>
          <w:sz w:val="24"/>
        </w:rPr>
      </w:pPr>
      <w:r w:rsidRPr="0097365C">
        <w:rPr>
          <w:sz w:val="24"/>
        </w:rPr>
        <w:t xml:space="preserve">- </w:t>
      </w:r>
      <w:r w:rsidRPr="00C14A41">
        <w:rPr>
          <w:sz w:val="24"/>
          <w:szCs w:val="24"/>
        </w:rPr>
        <w:t xml:space="preserve">nachstehend </w:t>
      </w:r>
      <w:r w:rsidRPr="00C14A41">
        <w:rPr>
          <w:sz w:val="24"/>
        </w:rPr>
        <w:t>"</w:t>
      </w:r>
      <w:r w:rsidRPr="00C14A41">
        <w:rPr>
          <w:b/>
          <w:color w:val="000000"/>
          <w:sz w:val="24"/>
        </w:rPr>
        <w:t>NBHX</w:t>
      </w:r>
      <w:r w:rsidRPr="00C14A41">
        <w:rPr>
          <w:sz w:val="24"/>
        </w:rPr>
        <w:t>" genannt -</w:t>
      </w:r>
    </w:p>
    <w:p w14:paraId="79CCB98A" w14:textId="77777777" w:rsidR="003A0529" w:rsidRDefault="003A0529">
      <w:pPr>
        <w:spacing w:after="0" w:line="240" w:lineRule="auto"/>
        <w:rPr>
          <w:sz w:val="24"/>
        </w:rPr>
      </w:pPr>
      <w:r>
        <w:rPr>
          <w:sz w:val="24"/>
        </w:rPr>
        <w:br w:type="page"/>
      </w:r>
    </w:p>
    <w:p w14:paraId="12FCBCB7" w14:textId="77777777" w:rsidR="00C14A41" w:rsidRDefault="00C14A41" w:rsidP="00202E9B">
      <w:pPr>
        <w:jc w:val="right"/>
      </w:pPr>
    </w:p>
    <w:p w14:paraId="12FCBCB8" w14:textId="221DC965" w:rsidR="00C14A41" w:rsidRDefault="00C14A41" w:rsidP="00724686">
      <w:pPr>
        <w:jc w:val="both"/>
      </w:pPr>
      <w:r w:rsidRPr="00C14A41">
        <w:t xml:space="preserve">Diese Geheimhaltungsvereinbarung („GHV“) wurde am </w:t>
      </w:r>
      <w:r w:rsidRPr="00E86A1D">
        <w:rPr>
          <w:lang w:val="en-US"/>
        </w:rPr>
        <w:fldChar w:fldCharType="begin">
          <w:ffData>
            <w:name w:val="Text1"/>
            <w:enabled/>
            <w:calcOnExit w:val="0"/>
            <w:textInput/>
          </w:ffData>
        </w:fldChar>
      </w:r>
      <w:r w:rsidRPr="00C14A41">
        <w:instrText xml:space="preserve"> FORMTEXT </w:instrText>
      </w:r>
      <w:r w:rsidRPr="00E86A1D">
        <w:rPr>
          <w:lang w:val="en-US"/>
        </w:rPr>
      </w:r>
      <w:r w:rsidRPr="00E86A1D">
        <w:rPr>
          <w:lang w:val="en-US"/>
        </w:rPr>
        <w:fldChar w:fldCharType="separate"/>
      </w:r>
      <w:r w:rsidRPr="00E86A1D">
        <w:rPr>
          <w:lang w:val="en-US"/>
        </w:rPr>
        <w:t> </w:t>
      </w:r>
      <w:r w:rsidR="00A17FEC" w:rsidRPr="00A17FEC">
        <w:t>tt</w:t>
      </w:r>
      <w:r w:rsidR="00A17FEC">
        <w:t>.mm.jjj</w:t>
      </w:r>
      <w:r w:rsidRPr="00E86A1D">
        <w:rPr>
          <w:lang w:val="en-US"/>
        </w:rPr>
        <w:fldChar w:fldCharType="end"/>
      </w:r>
      <w:r w:rsidRPr="00C14A41">
        <w:t xml:space="preserve"> („Datum des Inkrafttretens“)  zwischen  </w:t>
      </w:r>
      <w:r w:rsidRPr="00E86A1D">
        <w:rPr>
          <w:lang w:val="en-US"/>
        </w:rPr>
        <w:fldChar w:fldCharType="begin">
          <w:ffData>
            <w:name w:val="Text3"/>
            <w:enabled/>
            <w:calcOnExit w:val="0"/>
            <w:textInput/>
          </w:ffData>
        </w:fldChar>
      </w:r>
      <w:r w:rsidRPr="00C14A41">
        <w:instrText xml:space="preserve"> FORMTEXT </w:instrText>
      </w:r>
      <w:r w:rsidRPr="00E86A1D">
        <w:rPr>
          <w:lang w:val="en-US"/>
        </w:rPr>
      </w:r>
      <w:r w:rsidRPr="00E86A1D">
        <w:rPr>
          <w:lang w:val="en-US"/>
        </w:rPr>
        <w:fldChar w:fldCharType="separate"/>
      </w:r>
      <w:r w:rsidRPr="00E86A1D">
        <w:rPr>
          <w:lang w:val="en-US"/>
        </w:rPr>
        <w:t> </w:t>
      </w:r>
      <w:r w:rsidRPr="00E86A1D">
        <w:rPr>
          <w:lang w:val="en-US"/>
        </w:rPr>
        <w:t> </w:t>
      </w:r>
      <w:r w:rsidRPr="00E86A1D">
        <w:rPr>
          <w:lang w:val="en-US"/>
        </w:rPr>
        <w:t> </w:t>
      </w:r>
      <w:r w:rsidRPr="00E86A1D">
        <w:rPr>
          <w:lang w:val="en-US"/>
        </w:rPr>
        <w:t> </w:t>
      </w:r>
      <w:r w:rsidRPr="00E86A1D">
        <w:rPr>
          <w:lang w:val="en-US"/>
        </w:rPr>
        <w:t> </w:t>
      </w:r>
      <w:r w:rsidRPr="00E86A1D">
        <w:rPr>
          <w:lang w:val="en-US"/>
        </w:rPr>
        <w:fldChar w:fldCharType="end"/>
      </w:r>
      <w:r w:rsidRPr="00C14A41">
        <w:t xml:space="preserve"> („Partner“) und de</w:t>
      </w:r>
      <w:r w:rsidR="00052759">
        <w:t>m</w:t>
      </w:r>
      <w:r w:rsidRPr="00C14A41">
        <w:t xml:space="preserve"> vorstehend </w:t>
      </w:r>
      <w:r w:rsidR="00724686">
        <w:t xml:space="preserve">genannten </w:t>
      </w:r>
      <w:r w:rsidRPr="00C14A41">
        <w:t>Unternehmen der NBHX Trim Group („NBHX“), nachfolgend auch „Partei“ oder „Parteien“ genannt</w:t>
      </w:r>
      <w:r w:rsidR="005C7CF5">
        <w:t xml:space="preserve"> </w:t>
      </w:r>
      <w:r w:rsidR="00A17FEC">
        <w:t>abgeschlossen</w:t>
      </w:r>
      <w:r w:rsidRPr="00C14A41">
        <w:t>.</w:t>
      </w:r>
    </w:p>
    <w:p w14:paraId="12FCBCB9" w14:textId="77777777" w:rsidR="008B0CD9" w:rsidRDefault="00C14A41" w:rsidP="00724686">
      <w:pPr>
        <w:jc w:val="both"/>
      </w:pPr>
      <w:r w:rsidRPr="00C14A41">
        <w:t>Die Parteien beabsichtigen, sich gegenseitig vertrauliche sowie geschützte Informationen zum Zweck der Realisierung und Durchführung von  Projekten bzw. der Aufnahme sowie des Erhalts von Geschäftsbeziehungen („Zweck") zur Verfügung zu stellen und vereinbaren, diese Informationen gemäß den nachfolgenden Bedingungen zu schützen:</w:t>
      </w:r>
    </w:p>
    <w:p w14:paraId="12FCBCBA" w14:textId="77777777" w:rsidR="008B0CD9" w:rsidRDefault="00C14A41" w:rsidP="00C14A41">
      <w:pPr>
        <w:pStyle w:val="berschrift1"/>
        <w:rPr>
          <w:rFonts w:eastAsia="Arial"/>
        </w:rPr>
      </w:pPr>
      <w:bookmarkStart w:id="0" w:name="_Toc479663891"/>
      <w:r w:rsidRPr="00A219FD">
        <w:rPr>
          <w:rFonts w:eastAsia="Arial"/>
        </w:rPr>
        <w:t>Definitionen</w:t>
      </w:r>
      <w:bookmarkEnd w:id="0"/>
    </w:p>
    <w:p w14:paraId="12FCBCBB" w14:textId="71156525" w:rsidR="00C14A41" w:rsidRPr="00E86A1D" w:rsidRDefault="00C14A41" w:rsidP="00724686">
      <w:pPr>
        <w:jc w:val="both"/>
      </w:pPr>
      <w:r w:rsidRPr="00E86A1D">
        <w:t xml:space="preserve">„Vertrauliche Informationen“ bezeichnet   solche vertrauliche Informationen,  die eine Partei und/oder ihre Verbundene Unternehmen (die „Offenlegende Partei") der anderen Partei und/oder ihren verbundenen Unternehmen (die „Empfangende Partei“) gegenüber offenlegt, und (a) zum Zeitpunkt der Offenlegung schriftlich oder mündlich darauf hingewiesen wurde, dass es sich um </w:t>
      </w:r>
      <w:r w:rsidR="00F71EEC">
        <w:t>Vertraulich</w:t>
      </w:r>
      <w:r w:rsidRPr="00E86A1D">
        <w:t>e Informationen handelt oder (b) zum Zeitpunkt der Offenlegung in einer anderen Art und Weise  auf  die  Vertraulichkeit  der Informationen hingewiesen wurde.</w:t>
      </w:r>
    </w:p>
    <w:p w14:paraId="12FCBCBC" w14:textId="77777777" w:rsidR="00C14A41" w:rsidRPr="00E86A1D" w:rsidRDefault="00C14A41" w:rsidP="00724686">
      <w:pPr>
        <w:spacing w:before="2" w:after="0" w:line="228" w:lineRule="exact"/>
        <w:ind w:right="151"/>
        <w:jc w:val="both"/>
      </w:pPr>
    </w:p>
    <w:p w14:paraId="12FCBCBD" w14:textId="648BEB5C" w:rsidR="00C14A41" w:rsidRPr="00E86A1D" w:rsidRDefault="00C14A41" w:rsidP="00724686">
      <w:pPr>
        <w:jc w:val="both"/>
      </w:pPr>
      <w:r w:rsidRPr="00E86A1D">
        <w:t>Insbesondere gelten unabhängig davon</w:t>
      </w:r>
      <w:r>
        <w:t>,</w:t>
      </w:r>
      <w:r w:rsidRPr="00E86A1D">
        <w:t xml:space="preserve"> wer diese erstellt hat</w:t>
      </w:r>
      <w:r w:rsidR="00724686">
        <w:t xml:space="preserve"> oder ob Hinweise nach vorstehendem Absatz erfolgt sind</w:t>
      </w:r>
      <w:r>
        <w:t>,</w:t>
      </w:r>
      <w:r w:rsidRPr="00E86A1D">
        <w:t xml:space="preserve"> die folgenden Informationen als vertraulich:</w:t>
      </w:r>
    </w:p>
    <w:p w14:paraId="12FCBCBE" w14:textId="77777777" w:rsidR="00C14A41" w:rsidRDefault="00C14A41" w:rsidP="00724686">
      <w:pPr>
        <w:numPr>
          <w:ilvl w:val="0"/>
          <w:numId w:val="20"/>
        </w:numPr>
        <w:spacing w:after="0"/>
        <w:jc w:val="both"/>
      </w:pPr>
      <w:r w:rsidRPr="00E86A1D">
        <w:t>technische  und  nicht  technische Informationen jeglicher Art, wie etwa Quellcodes, Zeichnungen, Skizzen, Prozessdiagramme, Software, Memoranden, Analysen, Berichte etc.</w:t>
      </w:r>
    </w:p>
    <w:p w14:paraId="12FCBCBF" w14:textId="77777777" w:rsidR="00C14A41" w:rsidRPr="00E86A1D" w:rsidRDefault="00C14A41" w:rsidP="00724686">
      <w:pPr>
        <w:numPr>
          <w:ilvl w:val="0"/>
          <w:numId w:val="20"/>
        </w:numPr>
        <w:spacing w:after="0"/>
        <w:jc w:val="both"/>
      </w:pPr>
      <w:r w:rsidRPr="00E86A1D">
        <w:t>Projektbeschreibungen, Terminpläne, Projektideen, in Projekten erarbeitetes Know-How bzw. Projektergebnisse</w:t>
      </w:r>
    </w:p>
    <w:p w14:paraId="12FCBCC0" w14:textId="77777777" w:rsidR="00C14A41" w:rsidRPr="00E86A1D" w:rsidRDefault="00C14A41" w:rsidP="00724686">
      <w:pPr>
        <w:numPr>
          <w:ilvl w:val="0"/>
          <w:numId w:val="20"/>
        </w:numPr>
        <w:spacing w:after="0"/>
        <w:jc w:val="both"/>
      </w:pPr>
      <w:r w:rsidRPr="00E86A1D">
        <w:t xml:space="preserve">Kundenlisten, Marketingpläne, Produktlisten u.ä. </w:t>
      </w:r>
    </w:p>
    <w:p w14:paraId="12FCBCC1" w14:textId="1FE86B9B" w:rsidR="00C14A41" w:rsidRPr="00E86A1D" w:rsidRDefault="00C14A41" w:rsidP="00724686">
      <w:pPr>
        <w:numPr>
          <w:ilvl w:val="0"/>
          <w:numId w:val="20"/>
        </w:numPr>
        <w:spacing w:after="0"/>
        <w:jc w:val="both"/>
      </w:pPr>
      <w:r w:rsidRPr="00E86A1D">
        <w:t>finanzielle Informationen, Geschäftsrichtlinien oder  -praktiken</w:t>
      </w:r>
    </w:p>
    <w:p w14:paraId="12FCBCC2" w14:textId="4C6C0131" w:rsidR="00C14A41" w:rsidRDefault="00C14A41" w:rsidP="00724686">
      <w:pPr>
        <w:numPr>
          <w:ilvl w:val="0"/>
          <w:numId w:val="20"/>
        </w:numPr>
        <w:spacing w:after="0"/>
        <w:jc w:val="both"/>
      </w:pPr>
      <w:r w:rsidRPr="00E86A1D">
        <w:t>Preisangaben, Preisinformation, Preiskalkulation</w:t>
      </w:r>
      <w:r w:rsidR="00410889">
        <w:t>en</w:t>
      </w:r>
      <w:r w:rsidRPr="00E86A1D">
        <w:t xml:space="preserve"> welche nur für die Empfangene Partei erstellt wurden</w:t>
      </w:r>
    </w:p>
    <w:p w14:paraId="7631F235" w14:textId="56CF8781" w:rsidR="00724686" w:rsidRDefault="00724686" w:rsidP="00724686">
      <w:pPr>
        <w:numPr>
          <w:ilvl w:val="0"/>
          <w:numId w:val="20"/>
        </w:numPr>
        <w:spacing w:after="0"/>
        <w:jc w:val="both"/>
      </w:pPr>
      <w:r>
        <w:t>Personenbezogene Daten i.S.d. Datenschutzgesetze</w:t>
      </w:r>
    </w:p>
    <w:p w14:paraId="3162244C" w14:textId="77777777" w:rsidR="00000888" w:rsidRDefault="00724686" w:rsidP="00724686">
      <w:pPr>
        <w:numPr>
          <w:ilvl w:val="0"/>
          <w:numId w:val="20"/>
        </w:numPr>
        <w:spacing w:after="0"/>
        <w:jc w:val="both"/>
      </w:pPr>
      <w:r>
        <w:t>Sonstige Geschäftsgeheimnisse i.S.d. Gesetzes zum Schutz von Geschäftsgeheimnissen (GeschGehG)</w:t>
      </w:r>
    </w:p>
    <w:p w14:paraId="728E374D" w14:textId="570E5861" w:rsidR="00724686" w:rsidRDefault="0074275F" w:rsidP="00724686">
      <w:pPr>
        <w:numPr>
          <w:ilvl w:val="0"/>
          <w:numId w:val="20"/>
        </w:numPr>
        <w:spacing w:after="0"/>
        <w:jc w:val="both"/>
      </w:pPr>
      <w:r>
        <w:t>j</w:t>
      </w:r>
      <w:r w:rsidR="00000888">
        <w:t>egliche Unterlagen und Informationen, die Gegenstand technischer und organisatorischer Geheimhaltungsmaßnahmen sind oder nach Art der Information oder den Umständen der Übermittlung als vertraulich anzusehen sind</w:t>
      </w:r>
      <w:r w:rsidR="00724686">
        <w:t>.</w:t>
      </w:r>
    </w:p>
    <w:p w14:paraId="2E566B98" w14:textId="77777777" w:rsidR="00724686" w:rsidRDefault="00724686" w:rsidP="00724686">
      <w:pPr>
        <w:spacing w:after="0"/>
        <w:ind w:left="720"/>
        <w:jc w:val="both"/>
      </w:pPr>
    </w:p>
    <w:p w14:paraId="12FCBCC3" w14:textId="5EDEBBFA" w:rsidR="00C14A41" w:rsidRDefault="00C14A41" w:rsidP="00724686">
      <w:pPr>
        <w:jc w:val="both"/>
      </w:pPr>
      <w:r w:rsidRPr="00E86A1D">
        <w:t xml:space="preserve">Informationen gelten nicht als vertraulich, wenn die   Empfangende Partei nachweisen kann, dass die Information: </w:t>
      </w:r>
    </w:p>
    <w:p w14:paraId="12FCBCC4" w14:textId="77777777" w:rsidR="00C14A41" w:rsidRDefault="00C14A41" w:rsidP="00724686">
      <w:pPr>
        <w:numPr>
          <w:ilvl w:val="0"/>
          <w:numId w:val="21"/>
        </w:numPr>
        <w:spacing w:after="0"/>
        <w:jc w:val="both"/>
      </w:pPr>
      <w:r w:rsidRPr="00E86A1D">
        <w:t>Ihr  bereits zur Zeit der Offenlegung kannte, oder</w:t>
      </w:r>
    </w:p>
    <w:p w14:paraId="12FCBCC5" w14:textId="77777777" w:rsidR="00C14A41" w:rsidRDefault="00C14A41" w:rsidP="00724686">
      <w:pPr>
        <w:numPr>
          <w:ilvl w:val="0"/>
          <w:numId w:val="21"/>
        </w:numPr>
        <w:spacing w:after="0"/>
        <w:jc w:val="both"/>
      </w:pPr>
      <w:r w:rsidRPr="00E86A1D">
        <w:t>Zur Zeit der Offenlegung bereits allgemein bekannt war, oder</w:t>
      </w:r>
    </w:p>
    <w:p w14:paraId="12FCBCC6" w14:textId="77777777" w:rsidR="00C14A41" w:rsidRPr="00E86A1D" w:rsidRDefault="00C14A41" w:rsidP="00724686">
      <w:pPr>
        <w:numPr>
          <w:ilvl w:val="0"/>
          <w:numId w:val="21"/>
        </w:numPr>
        <w:spacing w:after="0"/>
        <w:jc w:val="both"/>
      </w:pPr>
      <w:r w:rsidRPr="00E86A1D">
        <w:t>ohne Verschulden der Empfangenen Partei allgemein bekannt wurden, oder</w:t>
      </w:r>
    </w:p>
    <w:p w14:paraId="12FCBCC7" w14:textId="77777777" w:rsidR="00C14A41" w:rsidRPr="00E86A1D" w:rsidRDefault="00C14A41" w:rsidP="00724686">
      <w:pPr>
        <w:numPr>
          <w:ilvl w:val="0"/>
          <w:numId w:val="21"/>
        </w:numPr>
        <w:spacing w:after="0"/>
        <w:jc w:val="both"/>
      </w:pPr>
      <w:r w:rsidRPr="00E86A1D">
        <w:t>von einem Dritten ohne Verstoß gegen eine Vertraulichkeitsvereinbarung erlangt wurden, oder</w:t>
      </w:r>
    </w:p>
    <w:p w14:paraId="12FCBCC8" w14:textId="77777777" w:rsidR="00C14A41" w:rsidRPr="00E86A1D" w:rsidRDefault="00C14A41" w:rsidP="00724686">
      <w:pPr>
        <w:numPr>
          <w:ilvl w:val="0"/>
          <w:numId w:val="21"/>
        </w:numPr>
        <w:spacing w:after="0"/>
        <w:jc w:val="both"/>
      </w:pPr>
      <w:r w:rsidRPr="00E86A1D">
        <w:t>unabhängig von und ohne Gebrauch der Vertraulichen Information von der Empfangenen Partei entwickelt wurden.</w:t>
      </w:r>
    </w:p>
    <w:p w14:paraId="12FCBCC9" w14:textId="55CD83B6" w:rsidR="00C14A41" w:rsidRDefault="00C14A41" w:rsidP="00724686">
      <w:pPr>
        <w:spacing w:before="2" w:after="0" w:line="228" w:lineRule="exact"/>
        <w:ind w:right="151"/>
        <w:jc w:val="both"/>
      </w:pPr>
    </w:p>
    <w:p w14:paraId="18743651" w14:textId="77777777" w:rsidR="00724686" w:rsidRPr="00E86A1D" w:rsidRDefault="00724686" w:rsidP="00724686">
      <w:pPr>
        <w:jc w:val="both"/>
      </w:pPr>
      <w:bookmarkStart w:id="1" w:name="_Toc479663892"/>
      <w:r w:rsidRPr="00E86A1D">
        <w:t>Verbundene Unternehmen gelten für den Zweck dieser Vereinbarung nicht als „Dritte“.</w:t>
      </w:r>
    </w:p>
    <w:p w14:paraId="0D5B2B98" w14:textId="2EDDAB41" w:rsidR="00B915F9" w:rsidRDefault="00B915F9" w:rsidP="00724686">
      <w:pPr>
        <w:jc w:val="both"/>
      </w:pPr>
      <w:r w:rsidRPr="00E86A1D">
        <w:t xml:space="preserve">Als „Verbundenes Unternehmen“ gelten </w:t>
      </w:r>
      <w:r w:rsidR="00EE2302" w:rsidRPr="00E86A1D">
        <w:t>Unternehmen,</w:t>
      </w:r>
      <w:r w:rsidRPr="00E86A1D">
        <w:t xml:space="preserve"> die von einer Partei direkt oder in</w:t>
      </w:r>
      <w:r>
        <w:t xml:space="preserve">direkt kontrolliert werden, </w:t>
      </w:r>
      <w:r w:rsidRPr="00E86A1D">
        <w:t xml:space="preserve">Unternehmen von bzw. durch denen eine Partei direkt </w:t>
      </w:r>
      <w:r>
        <w:t xml:space="preserve">oder indirekt kontrolliert wird oder </w:t>
      </w:r>
      <w:r w:rsidR="002D2947">
        <w:t>Unternehmen,</w:t>
      </w:r>
      <w:r>
        <w:t xml:space="preserve"> die mit einer Partei direkt oder indirekt unter gemeinsamer Kontrolle stehen</w:t>
      </w:r>
      <w:r w:rsidRPr="00E86A1D">
        <w:t xml:space="preserve"> z.B. Tochter-</w:t>
      </w:r>
      <w:r>
        <w:t xml:space="preserve">, Schwester- </w:t>
      </w:r>
      <w:r w:rsidRPr="00E86A1D">
        <w:t xml:space="preserve"> oder Muttergesellschaften.</w:t>
      </w:r>
      <w:r>
        <w:t xml:space="preserve"> </w:t>
      </w:r>
    </w:p>
    <w:bookmarkEnd w:id="1"/>
    <w:p w14:paraId="513D4054" w14:textId="716B47FD" w:rsidR="00724686" w:rsidRDefault="00724686" w:rsidP="00724686">
      <w:pPr>
        <w:pStyle w:val="berschrift1"/>
        <w:rPr>
          <w:rFonts w:eastAsia="Arial"/>
        </w:rPr>
      </w:pPr>
      <w:r>
        <w:rPr>
          <w:rFonts w:eastAsia="Arial"/>
        </w:rPr>
        <w:t>Geheimhaltung</w:t>
      </w:r>
    </w:p>
    <w:p w14:paraId="12FCBCCD" w14:textId="4EA81A6D" w:rsidR="00C14A41" w:rsidRDefault="00C14A41" w:rsidP="00724686">
      <w:pPr>
        <w:spacing w:line="276" w:lineRule="auto"/>
        <w:jc w:val="both"/>
      </w:pPr>
      <w:r w:rsidRPr="00E86A1D">
        <w:t xml:space="preserve">Beide Parteien verpflichten sich die von der jeweils anderen Partei erhaltenen Vertraulichen Informationen streng geheim zu halten und nicht Dritten zugänglich zu machen sowie die Vertraulichen Informationen mit der Sorgfalt zu behandeln, mit der sie auch eigene </w:t>
      </w:r>
      <w:r w:rsidR="00F71EEC">
        <w:t>Vertraulich</w:t>
      </w:r>
      <w:r w:rsidRPr="00E86A1D">
        <w:t>e Informationen zu behandeln pflegen, mindestens jedoch mit der üblichen</w:t>
      </w:r>
      <w:r>
        <w:t xml:space="preserve"> gebotenen Sorgfalt.</w:t>
      </w:r>
      <w:r w:rsidR="00E93918">
        <w:t xml:space="preserve"> </w:t>
      </w:r>
    </w:p>
    <w:p w14:paraId="15A7AE85" w14:textId="7EA6C852" w:rsidR="00724686" w:rsidRDefault="00724686" w:rsidP="00724686">
      <w:pPr>
        <w:spacing w:before="2" w:after="0" w:line="276" w:lineRule="auto"/>
        <w:ind w:right="151"/>
        <w:jc w:val="both"/>
      </w:pPr>
      <w:bookmarkStart w:id="2" w:name="_Hlk98141711"/>
      <w:r>
        <w:t xml:space="preserve">Unternehmensintern beschränkten beide Parteien die Offenlegung </w:t>
      </w:r>
      <w:r w:rsidR="00F71EEC">
        <w:t>Vertraulich</w:t>
      </w:r>
      <w:r>
        <w:t>er Information auf einen möglichst geringen Personenkreis und auf die Zusammenarbeit im Rahmen des Zwecks (need-to-know Prinzip).</w:t>
      </w:r>
      <w:bookmarkEnd w:id="2"/>
      <w:r w:rsidR="00E93918">
        <w:t xml:space="preserve"> Mitarbeiter und Angestellte sind, soweit sie hierzu nicht bereits aufgrund ihres Arbeitsvertrages angehalten sind, zur Geheimhaltung zu verpflichten.</w:t>
      </w:r>
    </w:p>
    <w:p w14:paraId="52936577" w14:textId="77777777" w:rsidR="00724686" w:rsidRDefault="00724686" w:rsidP="00724686">
      <w:pPr>
        <w:spacing w:before="2" w:after="0" w:line="276" w:lineRule="auto"/>
        <w:ind w:right="151"/>
        <w:jc w:val="both"/>
      </w:pPr>
    </w:p>
    <w:p w14:paraId="5CDEDE29" w14:textId="77777777" w:rsidR="00724686" w:rsidRDefault="00724686" w:rsidP="00724686">
      <w:pPr>
        <w:spacing w:before="2" w:after="0" w:line="276" w:lineRule="auto"/>
        <w:ind w:right="151"/>
        <w:jc w:val="both"/>
      </w:pPr>
      <w:bookmarkStart w:id="3" w:name="_Hlk98142165"/>
      <w:r>
        <w:t>Ohne vorheriger Zustimmung der Offenlegenden Partei wird die Empfangende Partei Vertrauliche Informationen weder rekonstruieren, disassemblieren oder zurückentwickeln (reverse engineering</w:t>
      </w:r>
      <w:bookmarkEnd w:id="3"/>
      <w:r>
        <w:t>).</w:t>
      </w:r>
    </w:p>
    <w:p w14:paraId="6CFDAD6C" w14:textId="77777777" w:rsidR="00724686" w:rsidRDefault="00724686" w:rsidP="00724686">
      <w:pPr>
        <w:spacing w:before="2" w:after="0" w:line="276" w:lineRule="auto"/>
        <w:ind w:right="151"/>
        <w:jc w:val="both"/>
      </w:pPr>
    </w:p>
    <w:p w14:paraId="5AF302F7" w14:textId="04DA0E47" w:rsidR="00724686" w:rsidRDefault="00E93918" w:rsidP="00724686">
      <w:pPr>
        <w:spacing w:before="2" w:after="0" w:line="276" w:lineRule="auto"/>
        <w:ind w:right="151"/>
        <w:jc w:val="both"/>
      </w:pPr>
      <w:bookmarkStart w:id="4" w:name="_Hlk98142809"/>
      <w:r>
        <w:t xml:space="preserve">Beide Parteien treffen alle erforderlichen Maßnahmen, um unberechtigte Kenntnisnahme und Verwertung </w:t>
      </w:r>
      <w:r w:rsidR="00F71EEC">
        <w:t>Vertraulich</w:t>
      </w:r>
      <w:r>
        <w:t>er Information durch Dritte zu verhindern.</w:t>
      </w:r>
    </w:p>
    <w:p w14:paraId="66D89827" w14:textId="77777777" w:rsidR="00E93918" w:rsidRDefault="00E93918" w:rsidP="00724686">
      <w:pPr>
        <w:spacing w:line="276" w:lineRule="auto"/>
        <w:jc w:val="both"/>
      </w:pPr>
    </w:p>
    <w:p w14:paraId="6BD7DDAA" w14:textId="66540D82" w:rsidR="00724686" w:rsidRPr="00C14A41" w:rsidRDefault="00724686" w:rsidP="00724686">
      <w:pPr>
        <w:spacing w:line="276" w:lineRule="auto"/>
        <w:jc w:val="both"/>
      </w:pPr>
      <w:r>
        <w:t xml:space="preserve">NBHX ist gestattet unter Berücksichtigung der berechtigten Interessen des Partners, sich vom ordnungsgemäßen Umfang und Zustand der Informationssicherheitsmaßnahmen des Partners zu überzeugen.  </w:t>
      </w:r>
      <w:bookmarkEnd w:id="4"/>
      <w:r w:rsidR="00000888">
        <w:t>Der Partner akzeptiert, dass hierzu Audits durchgeführt werden, bei denen Einsicht in relevante Einrichtungen, Systeme und Unterlagen zu gewähren ist.</w:t>
      </w:r>
    </w:p>
    <w:p w14:paraId="12FCBCCE" w14:textId="77777777" w:rsidR="00C14A41" w:rsidRDefault="00C14A41" w:rsidP="00C14A41">
      <w:pPr>
        <w:pStyle w:val="berschrift1"/>
        <w:rPr>
          <w:rFonts w:eastAsia="Arial"/>
        </w:rPr>
      </w:pPr>
      <w:bookmarkStart w:id="5" w:name="_Toc479663893"/>
      <w:r w:rsidRPr="00A219FD">
        <w:rPr>
          <w:rFonts w:eastAsia="Arial"/>
        </w:rPr>
        <w:t>Erlaubte Offenlegung</w:t>
      </w:r>
      <w:bookmarkEnd w:id="5"/>
    </w:p>
    <w:p w14:paraId="12FCBCCF" w14:textId="77777777" w:rsidR="00C14A41" w:rsidRDefault="00C14A41" w:rsidP="00724686">
      <w:pPr>
        <w:numPr>
          <w:ilvl w:val="0"/>
          <w:numId w:val="19"/>
        </w:numPr>
        <w:jc w:val="both"/>
      </w:pPr>
      <w:r w:rsidRPr="00073ADD">
        <w:t>Beide Parteien dürfen  die Vertraulichen Informationen, die sie von der anderen Partei erhalten haben, den leitenden Angestellten und</w:t>
      </w:r>
      <w:r w:rsidR="0059541B">
        <w:t xml:space="preserve"> </w:t>
      </w:r>
      <w:r w:rsidRPr="00073ADD">
        <w:t>Mitarbeitern, Unternehmensberatern,              Zulieferern, Subunternehmern und Beratern sowie Verbundenen Unternehmen zugän</w:t>
      </w:r>
      <w:r w:rsidR="0059541B">
        <w:t xml:space="preserve">glich, die Kenntnis von </w:t>
      </w:r>
      <w:r w:rsidRPr="00073ADD">
        <w:t>den Informationen erhalten  müssen. Beide Parteien stellen sicher, dass diese Empfänger</w:t>
      </w:r>
      <w:r w:rsidR="0059541B">
        <w:t xml:space="preserve"> Vertraulicher Information die </w:t>
      </w:r>
      <w:r w:rsidRPr="00073ADD">
        <w:t>Bedingungen dieser GHV einhalten.</w:t>
      </w:r>
    </w:p>
    <w:p w14:paraId="12FCBCD0" w14:textId="49C39146" w:rsidR="00C14A41" w:rsidRPr="00C14A41" w:rsidRDefault="00C14A41" w:rsidP="00724686">
      <w:pPr>
        <w:numPr>
          <w:ilvl w:val="0"/>
          <w:numId w:val="19"/>
        </w:numPr>
        <w:jc w:val="both"/>
      </w:pPr>
      <w:r w:rsidRPr="00073ADD">
        <w:t>Ist eine Partei verpflichtet gegenüber einer öffentlichen  Behörde und/oder einem Gericht Vertrauliche Informationen offenzulegen, darf Sie dies tun. Die jeweils andere Partei ist, soweit dies gesetzlich zulässig ist, vor Offenlegung hierüber zu informieren und die Offenlegung ist soweit als möglich einzuschränken</w:t>
      </w:r>
      <w:r w:rsidR="00391097">
        <w:t>.</w:t>
      </w:r>
    </w:p>
    <w:p w14:paraId="12FCBCD1" w14:textId="77777777" w:rsidR="00C14A41" w:rsidRDefault="00C14A41" w:rsidP="00C14A41">
      <w:pPr>
        <w:pStyle w:val="berschrift1"/>
        <w:rPr>
          <w:rFonts w:eastAsia="Arial"/>
        </w:rPr>
      </w:pPr>
      <w:bookmarkStart w:id="6" w:name="_Toc479663894"/>
      <w:r>
        <w:rPr>
          <w:rFonts w:eastAsia="Arial"/>
        </w:rPr>
        <w:lastRenderedPageBreak/>
        <w:t>Laufzeit</w:t>
      </w:r>
      <w:bookmarkEnd w:id="6"/>
    </w:p>
    <w:p w14:paraId="12FCBCD2" w14:textId="77777777" w:rsidR="00C14A41" w:rsidRDefault="00C14A41" w:rsidP="00C14A41">
      <w:r w:rsidRPr="00C14A41">
        <w:t>Die GHV wird für einen Zeitraum von 8 Jahren ab dem Datum des Inkrafttretens geschlossen. Die Vertraulichkeitsbedingungen bleiben noch für weitere5 Jahre nach dem Auslaufdatum dieser  GHV in Kraft.</w:t>
      </w:r>
    </w:p>
    <w:p w14:paraId="12FCBCD3" w14:textId="77777777" w:rsidR="00C14A41" w:rsidRDefault="00C14A41" w:rsidP="00C14A41">
      <w:pPr>
        <w:pStyle w:val="berschrift1"/>
        <w:rPr>
          <w:rFonts w:eastAsia="Arial"/>
        </w:rPr>
      </w:pPr>
      <w:bookmarkStart w:id="7" w:name="_Toc479663895"/>
      <w:r>
        <w:rPr>
          <w:rFonts w:eastAsia="Arial"/>
        </w:rPr>
        <w:t>Rückgabe von Informationen</w:t>
      </w:r>
      <w:bookmarkEnd w:id="7"/>
    </w:p>
    <w:p w14:paraId="414E7123" w14:textId="784F5276" w:rsidR="0074275F" w:rsidRPr="00410889" w:rsidRDefault="0074275F" w:rsidP="00410889">
      <w:pPr>
        <w:pStyle w:val="Listenabsatz"/>
        <w:spacing w:after="240"/>
        <w:ind w:left="0"/>
        <w:contextualSpacing/>
        <w:jc w:val="both"/>
        <w:rPr>
          <w:rFonts w:asciiTheme="majorHAnsi" w:hAnsiTheme="majorHAnsi" w:cstheme="majorHAnsi"/>
          <w:sz w:val="22"/>
          <w:szCs w:val="22"/>
        </w:rPr>
      </w:pPr>
      <w:r w:rsidRPr="00410889">
        <w:rPr>
          <w:rFonts w:asciiTheme="majorHAnsi" w:hAnsiTheme="majorHAnsi" w:cstheme="majorHAnsi"/>
          <w:sz w:val="22"/>
          <w:szCs w:val="22"/>
        </w:rPr>
        <w:t xml:space="preserve">Die Parteien werden Unterlagen, die sie jeweils vom anderen im Zusammenhang mit der Zusammenarbeit erhalten haben nach Beendigung der Zusammenarbeit oder Beendigung des Vertrages über die Zusammenarbeit unverzüglich dem jeweiligen Informationsgeber zurückgeben. </w:t>
      </w:r>
    </w:p>
    <w:p w14:paraId="161B7B78" w14:textId="77777777" w:rsidR="0074275F" w:rsidRPr="00410889" w:rsidRDefault="0074275F" w:rsidP="00410889">
      <w:pPr>
        <w:pStyle w:val="Listenabsatz"/>
        <w:spacing w:after="240"/>
        <w:ind w:left="0"/>
        <w:contextualSpacing/>
        <w:jc w:val="both"/>
        <w:rPr>
          <w:rFonts w:asciiTheme="majorHAnsi" w:hAnsiTheme="majorHAnsi" w:cstheme="majorHAnsi"/>
          <w:sz w:val="22"/>
          <w:szCs w:val="22"/>
        </w:rPr>
      </w:pPr>
    </w:p>
    <w:p w14:paraId="795716DD" w14:textId="18810646" w:rsidR="0074275F" w:rsidRPr="00410889" w:rsidRDefault="0074275F" w:rsidP="00410889">
      <w:pPr>
        <w:pStyle w:val="Listenabsatz"/>
        <w:spacing w:after="240"/>
        <w:ind w:left="0"/>
        <w:contextualSpacing/>
        <w:jc w:val="both"/>
        <w:rPr>
          <w:rFonts w:asciiTheme="majorHAnsi" w:hAnsiTheme="majorHAnsi" w:cstheme="majorHAnsi"/>
          <w:sz w:val="22"/>
          <w:szCs w:val="22"/>
        </w:rPr>
      </w:pPr>
      <w:r w:rsidRPr="00410889">
        <w:rPr>
          <w:rFonts w:asciiTheme="majorHAnsi" w:hAnsiTheme="majorHAnsi" w:cstheme="majorHAnsi"/>
          <w:sz w:val="22"/>
          <w:szCs w:val="22"/>
        </w:rPr>
        <w:t xml:space="preserve">Auf Aufforderung von NBHX sowie ohne Aufforderung spätestens nach Erreichung des Zwecks der Zusammenarbeit ist der Partner verpflichtet, sämtliche Vertraulichen Informationen einschließlich der Kopien hiervon innerhalb von dreißig (30) Arbeitstagen nach Zugang der Aufforderung bzw. nach Beendigung des Projektes zurückzugeben oder zu vernichten (einschließlich elektronisch gespeicherter Vertraulicher Informationen), sofern nicht mit dem Partner vereinbarte oder gesetzliche Aufbewahrungspflichten dem entgegenstehen. </w:t>
      </w:r>
    </w:p>
    <w:p w14:paraId="28DA73BD" w14:textId="77777777" w:rsidR="0074275F" w:rsidRPr="00410889" w:rsidRDefault="0074275F" w:rsidP="00410889">
      <w:pPr>
        <w:pStyle w:val="Listenabsatz"/>
        <w:spacing w:after="240"/>
        <w:ind w:left="0"/>
        <w:contextualSpacing/>
        <w:jc w:val="both"/>
        <w:rPr>
          <w:rFonts w:asciiTheme="majorHAnsi" w:hAnsiTheme="majorHAnsi" w:cstheme="majorHAnsi"/>
          <w:sz w:val="22"/>
          <w:szCs w:val="22"/>
        </w:rPr>
      </w:pPr>
    </w:p>
    <w:p w14:paraId="1D15239C" w14:textId="7F10AE33" w:rsidR="0074275F" w:rsidRPr="00410889" w:rsidRDefault="0074275F" w:rsidP="00410889">
      <w:pPr>
        <w:pStyle w:val="Listenabsatz"/>
        <w:spacing w:after="240"/>
        <w:ind w:left="0"/>
        <w:contextualSpacing/>
        <w:jc w:val="both"/>
        <w:rPr>
          <w:rFonts w:asciiTheme="majorHAnsi" w:hAnsiTheme="majorHAnsi" w:cstheme="majorHAnsi"/>
          <w:sz w:val="22"/>
          <w:szCs w:val="22"/>
        </w:rPr>
      </w:pPr>
      <w:r w:rsidRPr="00410889">
        <w:rPr>
          <w:rFonts w:asciiTheme="majorHAnsi" w:hAnsiTheme="majorHAnsi" w:cstheme="majorHAnsi"/>
          <w:sz w:val="22"/>
          <w:szCs w:val="22"/>
        </w:rPr>
        <w:t xml:space="preserve">Die Vernichtung elektronisch gespeicherter Vertraulicher Informationen erfolgt durch die vollständige und unwiderrufliche Löschung der Dateien oder unwiederbringliche Zerstörung des Datenträgers. Vollständige und unwiderrufliche Löschung bedeutet bei elektronisch gespeicherten Vertraulichen Informationen, dass die Vertraulichen Informationen derart gelöscht werden, dass jeglicher Zugriff auf diese Informationen unmöglich wird, wobei spezielle Löschverfahren (z.B. mittels „Wiping“) zu verwenden sind, welche den anerkannten Standards genügen (bspw. Standards des Bundesamts für Informationssicherheit). </w:t>
      </w:r>
    </w:p>
    <w:p w14:paraId="4F03CCF2" w14:textId="48BE28BB" w:rsidR="0074275F" w:rsidRPr="00410889" w:rsidRDefault="0074275F" w:rsidP="00410889">
      <w:pPr>
        <w:pStyle w:val="Listenabsatz"/>
        <w:spacing w:after="240"/>
        <w:ind w:left="0"/>
        <w:contextualSpacing/>
        <w:jc w:val="both"/>
        <w:rPr>
          <w:rFonts w:asciiTheme="majorHAnsi" w:hAnsiTheme="majorHAnsi" w:cstheme="majorHAnsi"/>
          <w:sz w:val="22"/>
          <w:szCs w:val="22"/>
        </w:rPr>
      </w:pPr>
      <w:r w:rsidRPr="00410889">
        <w:rPr>
          <w:rFonts w:asciiTheme="majorHAnsi" w:hAnsiTheme="majorHAnsi" w:cstheme="majorHAnsi"/>
          <w:sz w:val="22"/>
          <w:szCs w:val="22"/>
        </w:rPr>
        <w:t>Ausgenommen hiervon sind – neben Vertraulichen Informationen, bzgl. derer eine Aufbewahrungspflicht besteht – Vertrauliche Informationen, deren Vernichtung bzw. Rückgabe technisch nicht möglich ist, z.B. da sie aufgrund eines automatisierten elektronischen Backup-Systems zur Sicherung von elektronischen Daten in einer Sicherungsdatei gespeichert wurden; hierzu zählt auch das technisch notwendige Vorhalten von Stammdaten (z.B. Personal-</w:t>
      </w:r>
      <w:r w:rsidR="00410889">
        <w:rPr>
          <w:rFonts w:asciiTheme="majorHAnsi" w:hAnsiTheme="majorHAnsi" w:cstheme="majorHAnsi"/>
          <w:sz w:val="22"/>
          <w:szCs w:val="22"/>
        </w:rPr>
        <w:t xml:space="preserve"> </w:t>
      </w:r>
      <w:r w:rsidRPr="00410889">
        <w:rPr>
          <w:rFonts w:asciiTheme="majorHAnsi" w:hAnsiTheme="majorHAnsi" w:cstheme="majorHAnsi"/>
          <w:sz w:val="22"/>
          <w:szCs w:val="22"/>
        </w:rPr>
        <w:t xml:space="preserve">oder Kundennummern), welches nötig ist, um eine Verknüpfung zu den archivierten Informationen herzustellen. </w:t>
      </w:r>
    </w:p>
    <w:p w14:paraId="2B76692D" w14:textId="77777777" w:rsidR="005746ED" w:rsidRPr="00410889" w:rsidRDefault="005746ED" w:rsidP="00410889">
      <w:pPr>
        <w:pStyle w:val="Listenabsatz"/>
        <w:spacing w:after="240"/>
        <w:ind w:left="0"/>
        <w:contextualSpacing/>
        <w:jc w:val="both"/>
        <w:rPr>
          <w:rFonts w:asciiTheme="majorHAnsi" w:hAnsiTheme="majorHAnsi" w:cstheme="majorHAnsi"/>
          <w:sz w:val="22"/>
          <w:szCs w:val="22"/>
        </w:rPr>
      </w:pPr>
    </w:p>
    <w:p w14:paraId="5FDA3F5F" w14:textId="2BAD2F82" w:rsidR="0074275F" w:rsidRDefault="0074275F" w:rsidP="00410889">
      <w:pPr>
        <w:pStyle w:val="Listenabsatz"/>
        <w:spacing w:after="240"/>
        <w:ind w:left="0"/>
        <w:contextualSpacing/>
        <w:jc w:val="both"/>
        <w:rPr>
          <w:rFonts w:asciiTheme="majorHAnsi" w:hAnsiTheme="majorHAnsi" w:cstheme="majorHAnsi"/>
          <w:sz w:val="22"/>
          <w:szCs w:val="22"/>
        </w:rPr>
      </w:pPr>
      <w:r w:rsidRPr="00410889">
        <w:rPr>
          <w:rFonts w:asciiTheme="majorHAnsi" w:hAnsiTheme="majorHAnsi" w:cstheme="majorHAnsi"/>
          <w:sz w:val="22"/>
          <w:szCs w:val="22"/>
        </w:rPr>
        <w:t xml:space="preserve">Auf Verlangen </w:t>
      </w:r>
      <w:r w:rsidR="005746ED" w:rsidRPr="00410889">
        <w:rPr>
          <w:rFonts w:asciiTheme="majorHAnsi" w:hAnsiTheme="majorHAnsi" w:cstheme="majorHAnsi"/>
          <w:sz w:val="22"/>
          <w:szCs w:val="22"/>
        </w:rPr>
        <w:t>von NBHX</w:t>
      </w:r>
      <w:r w:rsidRPr="00410889">
        <w:rPr>
          <w:rFonts w:asciiTheme="majorHAnsi" w:hAnsiTheme="majorHAnsi" w:cstheme="majorHAnsi"/>
          <w:sz w:val="22"/>
          <w:szCs w:val="22"/>
        </w:rPr>
        <w:t xml:space="preserve"> hat der </w:t>
      </w:r>
      <w:r w:rsidR="005746ED" w:rsidRPr="00410889">
        <w:rPr>
          <w:rFonts w:asciiTheme="majorHAnsi" w:hAnsiTheme="majorHAnsi" w:cstheme="majorHAnsi"/>
          <w:sz w:val="22"/>
          <w:szCs w:val="22"/>
        </w:rPr>
        <w:t>Partner</w:t>
      </w:r>
      <w:r w:rsidRPr="00410889">
        <w:rPr>
          <w:rFonts w:asciiTheme="majorHAnsi" w:hAnsiTheme="majorHAnsi" w:cstheme="majorHAnsi"/>
          <w:sz w:val="22"/>
          <w:szCs w:val="22"/>
        </w:rPr>
        <w:t xml:space="preserve"> schriftlich zu versichern, dass er sämtliche Vertrauliche Informationen nach den Maßgaben der vorstehenden Ziffern und den Weisungen </w:t>
      </w:r>
      <w:r w:rsidR="005746ED" w:rsidRPr="00410889">
        <w:rPr>
          <w:rFonts w:asciiTheme="majorHAnsi" w:hAnsiTheme="majorHAnsi" w:cstheme="majorHAnsi"/>
          <w:sz w:val="22"/>
          <w:szCs w:val="22"/>
        </w:rPr>
        <w:t>von NBHX</w:t>
      </w:r>
      <w:r w:rsidRPr="00410889">
        <w:rPr>
          <w:rFonts w:asciiTheme="majorHAnsi" w:hAnsiTheme="majorHAnsi" w:cstheme="majorHAnsi"/>
          <w:sz w:val="22"/>
          <w:szCs w:val="22"/>
        </w:rPr>
        <w:t xml:space="preserve"> vollständig und unwiderruflich gelöscht hat.</w:t>
      </w:r>
    </w:p>
    <w:p w14:paraId="2E04491F" w14:textId="4B2FC1DB" w:rsidR="00376047" w:rsidRDefault="00376047" w:rsidP="00410889">
      <w:pPr>
        <w:pStyle w:val="Listenabsatz"/>
        <w:spacing w:after="240"/>
        <w:ind w:left="0"/>
        <w:contextualSpacing/>
        <w:jc w:val="both"/>
        <w:rPr>
          <w:rFonts w:asciiTheme="majorHAnsi" w:hAnsiTheme="majorHAnsi" w:cstheme="majorHAnsi"/>
          <w:sz w:val="22"/>
          <w:szCs w:val="22"/>
        </w:rPr>
      </w:pPr>
    </w:p>
    <w:p w14:paraId="022CD07E" w14:textId="0B720D46" w:rsidR="00376047" w:rsidRDefault="00376047" w:rsidP="00410889">
      <w:pPr>
        <w:pStyle w:val="Listenabsatz"/>
        <w:spacing w:after="240"/>
        <w:ind w:left="0"/>
        <w:contextualSpacing/>
        <w:jc w:val="both"/>
        <w:rPr>
          <w:rFonts w:asciiTheme="majorHAnsi" w:hAnsiTheme="majorHAnsi" w:cstheme="majorHAnsi"/>
          <w:sz w:val="22"/>
          <w:szCs w:val="22"/>
        </w:rPr>
      </w:pPr>
    </w:p>
    <w:p w14:paraId="3173FE96" w14:textId="295168B1" w:rsidR="00376047" w:rsidRDefault="00376047" w:rsidP="00410889">
      <w:pPr>
        <w:pStyle w:val="Listenabsatz"/>
        <w:spacing w:after="240"/>
        <w:ind w:left="0"/>
        <w:contextualSpacing/>
        <w:jc w:val="both"/>
        <w:rPr>
          <w:rFonts w:asciiTheme="majorHAnsi" w:hAnsiTheme="majorHAnsi" w:cstheme="majorHAnsi"/>
          <w:sz w:val="22"/>
          <w:szCs w:val="22"/>
        </w:rPr>
      </w:pPr>
    </w:p>
    <w:p w14:paraId="332A1C74" w14:textId="35FF238A" w:rsidR="00376047" w:rsidRDefault="00376047" w:rsidP="00410889">
      <w:pPr>
        <w:pStyle w:val="Listenabsatz"/>
        <w:spacing w:after="240"/>
        <w:ind w:left="0"/>
        <w:contextualSpacing/>
        <w:jc w:val="both"/>
        <w:rPr>
          <w:rFonts w:asciiTheme="majorHAnsi" w:hAnsiTheme="majorHAnsi" w:cstheme="majorHAnsi"/>
          <w:sz w:val="22"/>
          <w:szCs w:val="22"/>
        </w:rPr>
      </w:pPr>
    </w:p>
    <w:p w14:paraId="180346EB" w14:textId="77777777" w:rsidR="00376047" w:rsidRPr="00410889" w:rsidRDefault="00376047" w:rsidP="00410889">
      <w:pPr>
        <w:pStyle w:val="Listenabsatz"/>
        <w:spacing w:after="240"/>
        <w:ind w:left="0"/>
        <w:contextualSpacing/>
        <w:jc w:val="both"/>
        <w:rPr>
          <w:rFonts w:asciiTheme="majorHAnsi" w:hAnsiTheme="majorHAnsi" w:cstheme="majorHAnsi"/>
          <w:sz w:val="22"/>
          <w:szCs w:val="22"/>
        </w:rPr>
      </w:pPr>
    </w:p>
    <w:p w14:paraId="12FCBCD5" w14:textId="4C7E7257" w:rsidR="00C14A41" w:rsidRDefault="005F19D2" w:rsidP="00C14A41">
      <w:pPr>
        <w:pStyle w:val="berschrift1"/>
        <w:rPr>
          <w:rFonts w:eastAsia="Arial"/>
          <w:u w:color="000000"/>
        </w:rPr>
      </w:pPr>
      <w:bookmarkStart w:id="8" w:name="_Toc479663896"/>
      <w:r>
        <w:rPr>
          <w:rFonts w:eastAsia="Arial"/>
          <w:u w:color="000000"/>
        </w:rPr>
        <w:lastRenderedPageBreak/>
        <w:t xml:space="preserve">Gewerblicher </w:t>
      </w:r>
      <w:r w:rsidR="00C14A41">
        <w:rPr>
          <w:rFonts w:eastAsia="Arial"/>
          <w:u w:color="000000"/>
        </w:rPr>
        <w:t>Rechtsschutz, Garantie</w:t>
      </w:r>
      <w:bookmarkEnd w:id="8"/>
    </w:p>
    <w:p w14:paraId="17831468" w14:textId="22500660" w:rsidR="004F2687" w:rsidRDefault="00C14A41" w:rsidP="00C64CCD">
      <w:pPr>
        <w:jc w:val="both"/>
      </w:pPr>
      <w:r w:rsidRPr="00C14A41">
        <w:t>Durch die Bereitstellung Vertraulicher Information werden den Parteien keine gewerblichen Schutzrechte übertragen oder neue gewerbliche Schutzrechte begründet. Eigentumsrechte werden von der Weitergabe nicht berührt</w:t>
      </w:r>
      <w:r w:rsidR="004F2687">
        <w:t xml:space="preserve"> und keine Nutzungs- bzw. Verwertungsrechte mit Ausnahme der Nutzung zum oben genannten Zweck eingeräumt</w:t>
      </w:r>
      <w:r w:rsidRPr="00C14A41">
        <w:t xml:space="preserve">. </w:t>
      </w:r>
      <w:r w:rsidR="004F2687">
        <w:t>Die Information empfangende Partei hat es zu unterlassen, die Vertraulichen Informationen außerhalb des Zwecks in irgendeiner Weise selbst oder durch Dritte  wirtschaftlich zu verwerten oder nachzuahmen. Es ist insbesondere zu unterlassen auf Vertrauliche Informationen gewerbliche Schutzrechte anzumelden oder neuheitsschädliche Publikationen vorzunehmen.</w:t>
      </w:r>
    </w:p>
    <w:p w14:paraId="12FCBCD6" w14:textId="46C9D08D" w:rsidR="00C14A41" w:rsidRDefault="00C14A41" w:rsidP="00C64CCD">
      <w:pPr>
        <w:jc w:val="both"/>
      </w:pPr>
      <w:r w:rsidRPr="00C14A41">
        <w:t>Die Weitergabe Vertraulicher Information stellt keine Zusicherung, Gewährleistung oder sonstige Garantie dar.</w:t>
      </w:r>
    </w:p>
    <w:p w14:paraId="57011CF0" w14:textId="4EBB4495" w:rsidR="00C64CCD" w:rsidRDefault="00C64CCD" w:rsidP="00C64CCD">
      <w:pPr>
        <w:pStyle w:val="berschrift1"/>
        <w:rPr>
          <w:rFonts w:eastAsia="Arial"/>
          <w:u w:color="000000"/>
        </w:rPr>
      </w:pPr>
      <w:r>
        <w:rPr>
          <w:rFonts w:eastAsia="Arial"/>
          <w:u w:color="000000"/>
        </w:rPr>
        <w:t>Kartellrecht</w:t>
      </w:r>
    </w:p>
    <w:p w14:paraId="1B41B1C3" w14:textId="77777777" w:rsidR="00C64CCD" w:rsidRPr="00055EA4" w:rsidRDefault="00C64CCD" w:rsidP="00C64CCD">
      <w:pPr>
        <w:pStyle w:val="Listenabsatz"/>
        <w:spacing w:line="276" w:lineRule="auto"/>
        <w:ind w:left="30" w:right="254"/>
        <w:jc w:val="both"/>
        <w:rPr>
          <w:rFonts w:ascii="Calibri Light" w:eastAsia="Calibri" w:hAnsi="Calibri Light"/>
          <w:sz w:val="22"/>
          <w:szCs w:val="22"/>
          <w:lang w:eastAsia="en-US"/>
        </w:rPr>
      </w:pPr>
      <w:r>
        <w:rPr>
          <w:rFonts w:ascii="Calibri Light" w:eastAsia="Calibri" w:hAnsi="Calibri Light"/>
          <w:sz w:val="22"/>
          <w:szCs w:val="22"/>
          <w:lang w:eastAsia="en-US"/>
        </w:rPr>
        <w:t xml:space="preserve">Beide Parteien stellen sicher, dass im Rahmen ihrer Zusammenarbeit kartellrechtliche Vorgaben eingehalten werden. Sofern die Parteien auf einem Markt im Wettbewerbsverhältnis stehen, wird die Einhaltung kartellrechtlicher Verpflichtung mit besonderer Vorsicht geprüft und erforderliche Maßnahmen in Verantwortung einer jeden Partei umgesetzt. </w:t>
      </w:r>
    </w:p>
    <w:p w14:paraId="02E46D46" w14:textId="4A8B9390" w:rsidR="00C64CCD" w:rsidRDefault="00C64CCD" w:rsidP="00C64CCD">
      <w:pPr>
        <w:jc w:val="both"/>
      </w:pPr>
    </w:p>
    <w:p w14:paraId="1D50AB1E" w14:textId="1C72E374" w:rsidR="00C64CCD" w:rsidRDefault="00C64CCD" w:rsidP="00C64CCD">
      <w:pPr>
        <w:pStyle w:val="berschrift1"/>
        <w:rPr>
          <w:rFonts w:eastAsia="Arial"/>
          <w:u w:color="000000"/>
        </w:rPr>
      </w:pPr>
      <w:r>
        <w:rPr>
          <w:rFonts w:eastAsia="Arial"/>
          <w:u w:color="000000"/>
        </w:rPr>
        <w:t>Datenschutzrecht</w:t>
      </w:r>
    </w:p>
    <w:p w14:paraId="306372DE" w14:textId="77777777" w:rsidR="00C64CCD" w:rsidRDefault="00C64CCD" w:rsidP="00C64CCD">
      <w:pPr>
        <w:pStyle w:val="Listenabsatz"/>
        <w:spacing w:line="276" w:lineRule="auto"/>
        <w:ind w:left="30" w:right="254"/>
        <w:jc w:val="both"/>
        <w:rPr>
          <w:rFonts w:ascii="Calibri Light" w:eastAsia="Calibri" w:hAnsi="Calibri Light"/>
          <w:sz w:val="22"/>
          <w:szCs w:val="22"/>
          <w:lang w:eastAsia="en-US"/>
        </w:rPr>
      </w:pPr>
      <w:bookmarkStart w:id="9" w:name="_Hlk98145242"/>
      <w:r>
        <w:rPr>
          <w:rFonts w:ascii="Calibri Light" w:eastAsia="Calibri" w:hAnsi="Calibri Light"/>
          <w:sz w:val="22"/>
          <w:szCs w:val="22"/>
          <w:lang w:eastAsia="en-US"/>
        </w:rPr>
        <w:t xml:space="preserve">Beide Parteien stellen sicher, dass die bei Ihnen in der Datenverarbeitung tätigen Personen über die Vertraulichkeit personenbezogener Daten unterrichtet sind und zur Einhaltung der datenschutzrechtlichen Anforderungen in Bezug auf personenbezogene Daten gemäß EU-Datenschutz-Grundverordnung (DSGVO) und Bundesdatenschutz (BDSG) verpflichtet sind. </w:t>
      </w:r>
    </w:p>
    <w:p w14:paraId="723A88DC" w14:textId="77777777" w:rsidR="00C64CCD" w:rsidRDefault="00C64CCD" w:rsidP="00C64CCD">
      <w:pPr>
        <w:pStyle w:val="Listenabsatz"/>
        <w:spacing w:line="276" w:lineRule="auto"/>
        <w:ind w:left="30" w:right="254"/>
        <w:jc w:val="both"/>
        <w:rPr>
          <w:rFonts w:ascii="Calibri Light" w:eastAsia="Calibri" w:hAnsi="Calibri Light"/>
          <w:sz w:val="22"/>
          <w:szCs w:val="22"/>
          <w:lang w:eastAsia="en-US"/>
        </w:rPr>
      </w:pPr>
      <w:r>
        <w:rPr>
          <w:rFonts w:ascii="Calibri Light" w:eastAsia="Calibri" w:hAnsi="Calibri Light"/>
          <w:sz w:val="22"/>
          <w:szCs w:val="22"/>
          <w:lang w:eastAsia="en-US"/>
        </w:rPr>
        <w:t xml:space="preserve">Auch im Falle von Partnern, die außerhalb der EU bzw. Deutschlands ansässig sind, ist ein mit der DSGVO und dem BDSG vergleichbares Datenschutzniveau in Hinblick auf personenbezogene Daten einzuhalten. </w:t>
      </w:r>
    </w:p>
    <w:p w14:paraId="67A8CE68" w14:textId="1C5B645C" w:rsidR="00C64CCD" w:rsidRDefault="00C64CCD" w:rsidP="00C64CCD">
      <w:pPr>
        <w:spacing w:line="276" w:lineRule="auto"/>
        <w:jc w:val="both"/>
      </w:pPr>
      <w:r>
        <w:t>Das unbefugte Verarbeiten personenbezogener Daten ist zu untersagen.</w:t>
      </w:r>
      <w:bookmarkEnd w:id="9"/>
    </w:p>
    <w:p w14:paraId="7925E979" w14:textId="31877346" w:rsidR="00376047" w:rsidRDefault="00376047" w:rsidP="00C64CCD">
      <w:pPr>
        <w:spacing w:line="276" w:lineRule="auto"/>
        <w:jc w:val="both"/>
      </w:pPr>
    </w:p>
    <w:p w14:paraId="345E1222" w14:textId="5898D6EC" w:rsidR="00376047" w:rsidRDefault="00376047" w:rsidP="00C64CCD">
      <w:pPr>
        <w:spacing w:line="276" w:lineRule="auto"/>
        <w:jc w:val="both"/>
      </w:pPr>
    </w:p>
    <w:p w14:paraId="7A79FB6A" w14:textId="77777777" w:rsidR="00376047" w:rsidRDefault="00376047" w:rsidP="00C64CCD">
      <w:pPr>
        <w:spacing w:line="276" w:lineRule="auto"/>
        <w:jc w:val="both"/>
      </w:pPr>
    </w:p>
    <w:p w14:paraId="12FCBCD7" w14:textId="7B160A5D" w:rsidR="00C14A41" w:rsidRDefault="00A6264A" w:rsidP="00C14A41">
      <w:pPr>
        <w:pStyle w:val="berschrift1"/>
        <w:rPr>
          <w:rFonts w:eastAsia="Arial"/>
          <w:u w:color="000000"/>
        </w:rPr>
      </w:pPr>
      <w:bookmarkStart w:id="10" w:name="_Toc479663897"/>
      <w:r>
        <w:rPr>
          <w:rFonts w:eastAsia="Arial"/>
          <w:u w:color="000000"/>
        </w:rPr>
        <w:lastRenderedPageBreak/>
        <w:t xml:space="preserve">Rechtsfolgen, </w:t>
      </w:r>
      <w:r w:rsidR="00C14A41" w:rsidRPr="00C02B65">
        <w:rPr>
          <w:rFonts w:eastAsia="Arial"/>
          <w:u w:color="000000"/>
        </w:rPr>
        <w:t>Schadensersatz</w:t>
      </w:r>
      <w:bookmarkEnd w:id="10"/>
    </w:p>
    <w:p w14:paraId="2C82B1A5" w14:textId="77777777" w:rsidR="00A6264A" w:rsidRDefault="00A6264A" w:rsidP="00C64CCD">
      <w:pPr>
        <w:jc w:val="both"/>
      </w:pPr>
      <w:r>
        <w:t>Den Parteien ist bekannt, dass die Verletzung der Vertraulichkeitsverpflichtung zivilrechtliche, wettbewerbsrechtliche und strafrechtliche Folgen haben kann.</w:t>
      </w:r>
    </w:p>
    <w:p w14:paraId="12FCBCD8" w14:textId="75B474B1" w:rsidR="00C14A41" w:rsidRPr="00C14A41" w:rsidRDefault="00C14A41" w:rsidP="00C64CCD">
      <w:pPr>
        <w:jc w:val="both"/>
      </w:pPr>
      <w:r w:rsidRPr="00C14A41">
        <w:t>Beide Parteien erkennen an, dass eine Verletzung dieser GHV der Offenlegenden Partei einen irreparablen Schaden zufügen kann, der allein durch einen finanziellen Ausgleich nicht kompensiert werden kann. Ungeachtet dessen</w:t>
      </w:r>
      <w:r w:rsidR="00A6264A">
        <w:t xml:space="preserve"> hat</w:t>
      </w:r>
      <w:r w:rsidRPr="00C14A41">
        <w:t xml:space="preserve"> </w:t>
      </w:r>
      <w:r>
        <w:t>d</w:t>
      </w:r>
      <w:r w:rsidRPr="00C14A41">
        <w:t>ie verletzende Partei der jeweils anderen Partei alle Schäden, angemessene Kosten und Ausgaben, die jener infolge der Vereinbarungsverletzung entstanden sind, erstatten</w:t>
      </w:r>
      <w:r>
        <w:t>.</w:t>
      </w:r>
    </w:p>
    <w:p w14:paraId="12FCBCD9" w14:textId="77777777" w:rsidR="00C14A41" w:rsidRDefault="00C14A41" w:rsidP="00C14A41">
      <w:pPr>
        <w:pStyle w:val="berschrift1"/>
        <w:rPr>
          <w:rFonts w:eastAsia="Arial"/>
          <w:u w:color="000000"/>
        </w:rPr>
      </w:pPr>
      <w:bookmarkStart w:id="11" w:name="_Toc479663898"/>
      <w:r w:rsidRPr="00C02B65">
        <w:rPr>
          <w:rFonts w:eastAsia="Arial"/>
          <w:u w:color="000000"/>
        </w:rPr>
        <w:t>Geschäftsbeziehung</w:t>
      </w:r>
      <w:bookmarkEnd w:id="11"/>
    </w:p>
    <w:p w14:paraId="12FCBCDA" w14:textId="77777777" w:rsidR="00C14A41" w:rsidRPr="00C14A41" w:rsidRDefault="00C14A41" w:rsidP="00C14A41">
      <w:r w:rsidRPr="00C14A41">
        <w:t>Durch Abschluss dieser GHV ist kein weiteres Rechtsgeschäft geschlossen worden, noch wurde eine Verpflichtung zur Begründung weiterer Geschäftsbeziehungen eingegangen.</w:t>
      </w:r>
    </w:p>
    <w:p w14:paraId="12FCBCDB" w14:textId="77777777" w:rsidR="00C14A41" w:rsidRDefault="00C14A41" w:rsidP="00C14A41">
      <w:pPr>
        <w:pStyle w:val="berschrift1"/>
        <w:rPr>
          <w:rFonts w:eastAsia="Arial"/>
        </w:rPr>
      </w:pPr>
      <w:bookmarkStart w:id="12" w:name="_Toc479663899"/>
      <w:r w:rsidRPr="008B0CD9">
        <w:rPr>
          <w:rFonts w:eastAsia="Arial"/>
        </w:rPr>
        <w:t>Bindungswirkung, Schriftform</w:t>
      </w:r>
      <w:bookmarkEnd w:id="12"/>
    </w:p>
    <w:p w14:paraId="12FCBCDC" w14:textId="77777777" w:rsidR="00C14A41" w:rsidRDefault="00C14A41" w:rsidP="00C64CCD">
      <w:pPr>
        <w:jc w:val="both"/>
      </w:pPr>
      <w:r w:rsidRPr="00C14A41">
        <w:t>Diese Vereinbarung stellt die gesamte Vereinbarung zwischen den  Parteien dar, die hinsichtlich ihres Zwecks getroffen wird und löst vorherigen Vereinbarungen ab. Änderungen  dieser  Vereinbarung haben nur Gültigkeit,  wenn diese schriftlich erfolgen und von entsprechend bevollmächtigten Vertretern der Parteien unterzeichnet wurden. Diese Vereinbarung ist auch für Betriebs- oder Rechtsnachfolger der Parteien bindend.</w:t>
      </w:r>
    </w:p>
    <w:p w14:paraId="12FCBCDD" w14:textId="77777777" w:rsidR="00C14A41" w:rsidRDefault="00C14A41" w:rsidP="00C14A41">
      <w:pPr>
        <w:pStyle w:val="berschrift1"/>
        <w:rPr>
          <w:rFonts w:eastAsia="Arial"/>
          <w:spacing w:val="1"/>
          <w:u w:color="000000"/>
        </w:rPr>
      </w:pPr>
      <w:bookmarkStart w:id="13" w:name="_Toc479663900"/>
      <w:r w:rsidRPr="00C02B65">
        <w:rPr>
          <w:rFonts w:eastAsia="Arial"/>
          <w:spacing w:val="-1"/>
          <w:u w:color="000000"/>
        </w:rPr>
        <w:t>S</w:t>
      </w:r>
      <w:r w:rsidRPr="00C02B65">
        <w:rPr>
          <w:rFonts w:eastAsia="Arial"/>
          <w:u w:color="000000"/>
        </w:rPr>
        <w:t>al</w:t>
      </w:r>
      <w:r w:rsidRPr="00C02B65">
        <w:rPr>
          <w:rFonts w:eastAsia="Arial"/>
          <w:spacing w:val="1"/>
          <w:u w:color="000000"/>
        </w:rPr>
        <w:t>v</w:t>
      </w:r>
      <w:r w:rsidRPr="00C02B65">
        <w:rPr>
          <w:rFonts w:eastAsia="Arial"/>
          <w:u w:color="000000"/>
        </w:rPr>
        <w:t>at</w:t>
      </w:r>
      <w:r w:rsidRPr="00C02B65">
        <w:rPr>
          <w:rFonts w:eastAsia="Arial"/>
          <w:spacing w:val="1"/>
          <w:u w:color="000000"/>
        </w:rPr>
        <w:t>o</w:t>
      </w:r>
      <w:r w:rsidRPr="00C02B65">
        <w:rPr>
          <w:rFonts w:eastAsia="Arial"/>
          <w:spacing w:val="-1"/>
          <w:u w:color="000000"/>
        </w:rPr>
        <w:t>r</w:t>
      </w:r>
      <w:r w:rsidRPr="00C02B65">
        <w:rPr>
          <w:rFonts w:eastAsia="Arial"/>
          <w:u w:color="000000"/>
        </w:rPr>
        <w:t>i</w:t>
      </w:r>
      <w:r w:rsidRPr="00C02B65">
        <w:rPr>
          <w:rFonts w:eastAsia="Arial"/>
          <w:spacing w:val="2"/>
          <w:u w:color="000000"/>
        </w:rPr>
        <w:t>s</w:t>
      </w:r>
      <w:r w:rsidRPr="00C02B65">
        <w:rPr>
          <w:rFonts w:eastAsia="Arial"/>
          <w:u w:color="000000"/>
        </w:rPr>
        <w:t>che</w:t>
      </w:r>
      <w:r w:rsidRPr="00C02B65">
        <w:rPr>
          <w:rFonts w:eastAsia="Arial"/>
          <w:spacing w:val="30"/>
          <w:u w:color="000000"/>
        </w:rPr>
        <w:t xml:space="preserve"> </w:t>
      </w:r>
      <w:r w:rsidRPr="00C02B65">
        <w:rPr>
          <w:rFonts w:eastAsia="Arial"/>
          <w:u w:color="000000"/>
        </w:rPr>
        <w:t>Kla</w:t>
      </w:r>
      <w:r w:rsidRPr="00C02B65">
        <w:rPr>
          <w:rFonts w:eastAsia="Arial"/>
          <w:spacing w:val="3"/>
          <w:u w:color="000000"/>
        </w:rPr>
        <w:t>u</w:t>
      </w:r>
      <w:r w:rsidRPr="00C02B65">
        <w:rPr>
          <w:rFonts w:eastAsia="Arial"/>
          <w:u w:color="000000"/>
        </w:rPr>
        <w:t>s</w:t>
      </w:r>
      <w:r w:rsidRPr="00C02B65">
        <w:rPr>
          <w:rFonts w:eastAsia="Arial"/>
          <w:spacing w:val="-1"/>
          <w:u w:color="000000"/>
        </w:rPr>
        <w:t>e</w:t>
      </w:r>
      <w:r w:rsidRPr="00C02B65">
        <w:rPr>
          <w:rFonts w:eastAsia="Arial"/>
          <w:spacing w:val="1"/>
          <w:u w:color="000000"/>
        </w:rPr>
        <w:t>l</w:t>
      </w:r>
      <w:bookmarkEnd w:id="13"/>
    </w:p>
    <w:p w14:paraId="12FCBCDE" w14:textId="77777777" w:rsidR="00C14A41" w:rsidRDefault="00C14A41" w:rsidP="00C64CCD">
      <w:pPr>
        <w:jc w:val="both"/>
        <w:rPr>
          <w:rFonts w:eastAsia="Arial"/>
          <w:spacing w:val="1"/>
          <w:u w:color="000000"/>
        </w:rPr>
      </w:pPr>
      <w:r w:rsidRPr="00C14A41">
        <w:t>Sollte eine Bestimmung oder ein Teil dieser GHV, ganz oder teilweise unwirksam oder nicht durchsetzbar sein, so bleiben die übrigen Bestimmungen hiervon unberührt. Die ungültige Bestimmung ist durch eine solche zu ersetzen, die der ursprünglichen Bestimmung möglichst nahe kommt und unter den geltenden gesetzlichen Bestimmungen Gültigkeit hat.</w:t>
      </w:r>
      <w:r w:rsidRPr="00C14A41">
        <w:rPr>
          <w:rFonts w:eastAsia="Arial"/>
          <w:spacing w:val="1"/>
          <w:u w:color="000000"/>
        </w:rPr>
        <w:t xml:space="preserve"> </w:t>
      </w:r>
    </w:p>
    <w:p w14:paraId="12FCBCDF" w14:textId="77777777" w:rsidR="00C14A41" w:rsidRDefault="00C14A41" w:rsidP="00C14A41">
      <w:pPr>
        <w:pStyle w:val="berschrift1"/>
        <w:rPr>
          <w:rFonts w:eastAsia="Arial"/>
          <w:spacing w:val="5"/>
          <w:u w:color="000000"/>
        </w:rPr>
      </w:pPr>
      <w:bookmarkStart w:id="14" w:name="_Toc479663901"/>
      <w:r w:rsidRPr="00C02B65">
        <w:rPr>
          <w:rFonts w:eastAsia="Arial"/>
          <w:spacing w:val="1"/>
          <w:u w:color="000000"/>
        </w:rPr>
        <w:t>G</w:t>
      </w:r>
      <w:r w:rsidRPr="00C02B65">
        <w:rPr>
          <w:rFonts w:eastAsia="Arial"/>
          <w:u w:color="000000"/>
        </w:rPr>
        <w:t>eltendes</w:t>
      </w:r>
      <w:r w:rsidRPr="00C02B65">
        <w:rPr>
          <w:rFonts w:eastAsia="Arial"/>
          <w:spacing w:val="12"/>
          <w:u w:color="000000"/>
        </w:rPr>
        <w:t xml:space="preserve"> </w:t>
      </w:r>
      <w:r w:rsidRPr="00C02B65">
        <w:rPr>
          <w:rFonts w:eastAsia="Arial"/>
          <w:u w:color="000000"/>
        </w:rPr>
        <w:t>R</w:t>
      </w:r>
      <w:r w:rsidRPr="00C02B65">
        <w:rPr>
          <w:rFonts w:eastAsia="Arial"/>
          <w:spacing w:val="2"/>
          <w:u w:color="000000"/>
        </w:rPr>
        <w:t>e</w:t>
      </w:r>
      <w:r w:rsidRPr="00C02B65">
        <w:rPr>
          <w:rFonts w:eastAsia="Arial"/>
          <w:u w:color="000000"/>
        </w:rPr>
        <w:t>cht</w:t>
      </w:r>
      <w:r w:rsidRPr="00C02B65">
        <w:rPr>
          <w:rFonts w:eastAsia="Arial"/>
          <w:spacing w:val="18"/>
          <w:u w:color="000000"/>
        </w:rPr>
        <w:t xml:space="preserve"> </w:t>
      </w:r>
      <w:r w:rsidRPr="00C02B65">
        <w:rPr>
          <w:rFonts w:eastAsia="Arial"/>
          <w:u w:color="000000"/>
        </w:rPr>
        <w:t>und</w:t>
      </w:r>
      <w:r w:rsidRPr="00C02B65">
        <w:rPr>
          <w:rFonts w:eastAsia="Arial"/>
          <w:spacing w:val="20"/>
          <w:u w:color="000000"/>
        </w:rPr>
        <w:t xml:space="preserve"> </w:t>
      </w:r>
      <w:r w:rsidRPr="00C02B65">
        <w:rPr>
          <w:rFonts w:eastAsia="Arial"/>
          <w:spacing w:val="1"/>
          <w:u w:color="000000"/>
        </w:rPr>
        <w:t>G</w:t>
      </w:r>
      <w:r w:rsidRPr="00C02B65">
        <w:rPr>
          <w:rFonts w:eastAsia="Arial"/>
          <w:u w:color="000000"/>
        </w:rPr>
        <w:t>e</w:t>
      </w:r>
      <w:r w:rsidRPr="00C02B65">
        <w:rPr>
          <w:rFonts w:eastAsia="Arial"/>
          <w:spacing w:val="-1"/>
          <w:u w:color="000000"/>
        </w:rPr>
        <w:t>r</w:t>
      </w:r>
      <w:r w:rsidRPr="00C02B65">
        <w:rPr>
          <w:rFonts w:eastAsia="Arial"/>
          <w:u w:color="000000"/>
        </w:rPr>
        <w:t>ich</w:t>
      </w:r>
      <w:r w:rsidRPr="00C02B65">
        <w:rPr>
          <w:rFonts w:eastAsia="Arial"/>
          <w:spacing w:val="1"/>
          <w:u w:color="000000"/>
        </w:rPr>
        <w:t>t</w:t>
      </w:r>
      <w:r w:rsidRPr="00C02B65">
        <w:rPr>
          <w:rFonts w:eastAsia="Arial"/>
          <w:u w:color="000000"/>
        </w:rPr>
        <w:t>s</w:t>
      </w:r>
      <w:r w:rsidRPr="00C02B65">
        <w:rPr>
          <w:rFonts w:eastAsia="Arial"/>
          <w:spacing w:val="-1"/>
          <w:u w:color="000000"/>
        </w:rPr>
        <w:t>s</w:t>
      </w:r>
      <w:r w:rsidRPr="00C02B65">
        <w:rPr>
          <w:rFonts w:eastAsia="Arial"/>
          <w:spacing w:val="1"/>
          <w:u w:color="000000"/>
        </w:rPr>
        <w:t>t</w:t>
      </w:r>
      <w:r w:rsidRPr="00C02B65">
        <w:rPr>
          <w:rFonts w:eastAsia="Arial"/>
          <w:u w:color="000000"/>
        </w:rPr>
        <w:t>an</w:t>
      </w:r>
      <w:r w:rsidRPr="00C02B65">
        <w:rPr>
          <w:rFonts w:eastAsia="Arial"/>
          <w:spacing w:val="5"/>
          <w:u w:color="000000"/>
        </w:rPr>
        <w:t>d</w:t>
      </w:r>
      <w:bookmarkEnd w:id="14"/>
    </w:p>
    <w:p w14:paraId="12FCBCE0" w14:textId="52E5A1D3" w:rsidR="00C14A41" w:rsidRDefault="00C14A41" w:rsidP="00C64CCD">
      <w:pPr>
        <w:jc w:val="both"/>
      </w:pPr>
      <w:r w:rsidRPr="00C14A41">
        <w:t>Diese GHV unterliegt dem deutschen Recht unter Ausschluss geltender Kollisionsnormen und den Bestimmungen des Kaufrechts der Vereinten Nationen (United Nations Convention for the Inte</w:t>
      </w:r>
      <w:r>
        <w:t>rnational Sale of Goods, CISG).</w:t>
      </w:r>
    </w:p>
    <w:p w14:paraId="4E7E0021" w14:textId="64DD1B29" w:rsidR="00C64CCD" w:rsidRPr="00C14A41" w:rsidRDefault="00C64CCD" w:rsidP="00C64CCD">
      <w:pPr>
        <w:jc w:val="both"/>
      </w:pPr>
      <w:bookmarkStart w:id="15" w:name="_Hlk98145705"/>
      <w:r>
        <w:t>Zuständig im Streitensfall sind die für den Sitz von NBHX örtlich und sachlich zuständigen Gerichte.</w:t>
      </w:r>
      <w:bookmarkEnd w:id="15"/>
    </w:p>
    <w:p w14:paraId="12FCBCE1" w14:textId="77777777" w:rsidR="00C14A41" w:rsidRPr="00C14A41" w:rsidRDefault="00C14A41" w:rsidP="00C14A41"/>
    <w:tbl>
      <w:tblPr>
        <w:tblW w:w="9344" w:type="dxa"/>
        <w:tblLook w:val="04A0" w:firstRow="1" w:lastRow="0" w:firstColumn="1" w:lastColumn="0" w:noHBand="0" w:noVBand="1"/>
      </w:tblPr>
      <w:tblGrid>
        <w:gridCol w:w="4634"/>
        <w:gridCol w:w="4710"/>
      </w:tblGrid>
      <w:tr w:rsidR="008B0CD9" w:rsidRPr="008B0CD9" w14:paraId="12FCBCE4" w14:textId="77777777" w:rsidTr="009F4509">
        <w:trPr>
          <w:trHeight w:val="254"/>
        </w:trPr>
        <w:tc>
          <w:tcPr>
            <w:tcW w:w="4536" w:type="dxa"/>
            <w:shd w:val="clear" w:color="auto" w:fill="auto"/>
          </w:tcPr>
          <w:p w14:paraId="12FCBCE2" w14:textId="77777777" w:rsidR="008B0CD9" w:rsidRPr="00C137F9" w:rsidRDefault="008B0CD9" w:rsidP="008B0CD9">
            <w:pPr>
              <w:rPr>
                <w:rFonts w:eastAsia="Arial" w:cs="Arial"/>
                <w:spacing w:val="1"/>
                <w:sz w:val="2"/>
                <w:szCs w:val="20"/>
              </w:rPr>
            </w:pPr>
          </w:p>
        </w:tc>
        <w:tc>
          <w:tcPr>
            <w:tcW w:w="4808" w:type="dxa"/>
            <w:shd w:val="clear" w:color="auto" w:fill="auto"/>
          </w:tcPr>
          <w:p w14:paraId="12FCBCE3" w14:textId="77777777" w:rsidR="008B0CD9" w:rsidRPr="00C137F9" w:rsidRDefault="008B0CD9" w:rsidP="008B0CD9">
            <w:pPr>
              <w:spacing w:before="400" w:line="240" w:lineRule="auto"/>
              <w:rPr>
                <w:rFonts w:eastAsia="Arial" w:cs="Arial"/>
                <w:spacing w:val="1"/>
                <w:sz w:val="2"/>
                <w:szCs w:val="20"/>
              </w:rPr>
            </w:pPr>
          </w:p>
        </w:tc>
      </w:tr>
      <w:tr w:rsidR="008B0CD9" w:rsidRPr="00073ADD" w14:paraId="12FCBCE7" w14:textId="77777777" w:rsidTr="009F4509">
        <w:tc>
          <w:tcPr>
            <w:tcW w:w="4536" w:type="dxa"/>
            <w:shd w:val="clear" w:color="auto" w:fill="auto"/>
          </w:tcPr>
          <w:p w14:paraId="12FCBCE5" w14:textId="02312642" w:rsidR="008B0CD9" w:rsidRPr="00073ADD" w:rsidRDefault="009F4509" w:rsidP="00073ADD">
            <w:pPr>
              <w:pStyle w:val="Listenabsatz"/>
              <w:spacing w:line="218" w:lineRule="exact"/>
              <w:ind w:left="30" w:right="254"/>
              <w:jc w:val="both"/>
              <w:rPr>
                <w:rFonts w:ascii="Calibri Light" w:eastAsia="Calibri" w:hAnsi="Calibri Light"/>
                <w:b/>
                <w:sz w:val="22"/>
                <w:szCs w:val="22"/>
                <w:lang w:val="en-US" w:eastAsia="en-US"/>
              </w:rPr>
            </w:pPr>
            <w:r>
              <w:rPr>
                <w:rFonts w:ascii="Calibri Light" w:eastAsia="Calibri" w:hAnsi="Calibri Light"/>
                <w:b/>
                <w:sz w:val="22"/>
                <w:szCs w:val="22"/>
                <w:lang w:val="en-US" w:eastAsia="en-US"/>
              </w:rPr>
              <w:t xml:space="preserve">NBHX | </w:t>
            </w:r>
            <w:r>
              <w:rPr>
                <w:rFonts w:ascii="Calibri Light" w:eastAsia="Calibri" w:hAnsi="Calibri Light"/>
                <w:sz w:val="22"/>
                <w:szCs w:val="22"/>
                <w:lang w:val="en-US" w:eastAsia="en-US"/>
              </w:rPr>
              <w:t>Na</w:t>
            </w:r>
            <w:r w:rsidRPr="009F4509">
              <w:rPr>
                <w:rFonts w:ascii="Calibri Light" w:eastAsia="Calibri" w:hAnsi="Calibri Light"/>
                <w:sz w:val="22"/>
                <w:szCs w:val="22"/>
                <w:lang w:val="en-US" w:eastAsia="en-US"/>
              </w:rPr>
              <w:t>me, Funktion (Druckbuchstaben)</w:t>
            </w:r>
          </w:p>
        </w:tc>
        <w:tc>
          <w:tcPr>
            <w:tcW w:w="4808" w:type="dxa"/>
            <w:shd w:val="clear" w:color="auto" w:fill="auto"/>
          </w:tcPr>
          <w:p w14:paraId="12FCBCE6" w14:textId="1C5B83EE" w:rsidR="008B0CD9" w:rsidRPr="009F4509" w:rsidRDefault="008B0CD9" w:rsidP="00073ADD">
            <w:pPr>
              <w:pStyle w:val="Listenabsatz"/>
              <w:spacing w:line="218" w:lineRule="exact"/>
              <w:ind w:left="30" w:right="254"/>
              <w:jc w:val="both"/>
              <w:rPr>
                <w:rFonts w:ascii="Calibri Light" w:eastAsia="Calibri" w:hAnsi="Calibri Light"/>
                <w:sz w:val="22"/>
                <w:szCs w:val="22"/>
                <w:lang w:val="en-US" w:eastAsia="en-US"/>
              </w:rPr>
            </w:pPr>
          </w:p>
        </w:tc>
      </w:tr>
      <w:tr w:rsidR="008B0CD9" w:rsidRPr="008B0CD9" w14:paraId="12FCBCEA" w14:textId="77777777" w:rsidTr="009F4509">
        <w:tc>
          <w:tcPr>
            <w:tcW w:w="4536" w:type="dxa"/>
            <w:shd w:val="clear" w:color="auto" w:fill="auto"/>
          </w:tcPr>
          <w:p w14:paraId="12FCBCE8" w14:textId="77777777" w:rsidR="008B0CD9" w:rsidRDefault="008B0CD9" w:rsidP="008B0CD9">
            <w:pPr>
              <w:rPr>
                <w:rFonts w:eastAsia="Arial" w:cs="Arial"/>
                <w:spacing w:val="1"/>
                <w:sz w:val="20"/>
                <w:szCs w:val="20"/>
                <w:lang w:val="en-US"/>
              </w:rPr>
            </w:pPr>
          </w:p>
        </w:tc>
        <w:tc>
          <w:tcPr>
            <w:tcW w:w="4808" w:type="dxa"/>
            <w:shd w:val="clear" w:color="auto" w:fill="auto"/>
          </w:tcPr>
          <w:p w14:paraId="12FCBCE9" w14:textId="5228F02D" w:rsidR="008B0CD9" w:rsidRDefault="008B0CD9" w:rsidP="008B0CD9">
            <w:pPr>
              <w:spacing w:before="400" w:line="240" w:lineRule="auto"/>
              <w:rPr>
                <w:rFonts w:eastAsia="Arial" w:cs="Arial"/>
                <w:spacing w:val="1"/>
                <w:sz w:val="20"/>
                <w:szCs w:val="20"/>
                <w:lang w:val="en-US"/>
              </w:rPr>
            </w:pPr>
          </w:p>
        </w:tc>
      </w:tr>
      <w:tr w:rsidR="009D40A7" w:rsidRPr="00073ADD" w14:paraId="12FCBCEE" w14:textId="77777777" w:rsidTr="009F4509">
        <w:tc>
          <w:tcPr>
            <w:tcW w:w="4536" w:type="dxa"/>
            <w:shd w:val="clear" w:color="auto" w:fill="auto"/>
          </w:tcPr>
          <w:p w14:paraId="12FCBCEB" w14:textId="1CC32213" w:rsidR="009D40A7" w:rsidRDefault="009D40A7" w:rsidP="009D40A7">
            <w:pPr>
              <w:pStyle w:val="Listenabsatz"/>
              <w:spacing w:line="218" w:lineRule="exact"/>
              <w:ind w:left="30" w:right="254"/>
              <w:jc w:val="both"/>
              <w:rPr>
                <w:rFonts w:ascii="Calibri Light" w:eastAsia="Calibri" w:hAnsi="Calibri Light"/>
                <w:sz w:val="22"/>
                <w:szCs w:val="22"/>
                <w:lang w:val="en-US" w:eastAsia="en-US"/>
              </w:rPr>
            </w:pPr>
            <w:r>
              <w:rPr>
                <w:rFonts w:ascii="Calibri Light" w:eastAsia="Calibri" w:hAnsi="Calibri Light"/>
                <w:sz w:val="22"/>
                <w:szCs w:val="22"/>
                <w:lang w:val="en-US" w:eastAsia="en-US"/>
              </w:rPr>
              <w:t>_____________________________________</w:t>
            </w:r>
          </w:p>
          <w:p w14:paraId="12FCBCEC" w14:textId="77777777" w:rsidR="009D40A7" w:rsidRPr="00073ADD" w:rsidRDefault="009D40A7" w:rsidP="009D40A7">
            <w:pPr>
              <w:pStyle w:val="Listenabsatz"/>
              <w:spacing w:line="218" w:lineRule="exact"/>
              <w:ind w:left="30" w:right="254"/>
              <w:jc w:val="both"/>
              <w:rPr>
                <w:rFonts w:ascii="Calibri Light" w:eastAsia="Calibri" w:hAnsi="Calibri Light"/>
                <w:sz w:val="22"/>
                <w:szCs w:val="22"/>
                <w:lang w:val="en-US" w:eastAsia="en-US"/>
              </w:rPr>
            </w:pPr>
          </w:p>
        </w:tc>
        <w:tc>
          <w:tcPr>
            <w:tcW w:w="4808" w:type="dxa"/>
            <w:shd w:val="clear" w:color="auto" w:fill="auto"/>
          </w:tcPr>
          <w:p w14:paraId="12FCBCED" w14:textId="266BB4E5" w:rsidR="009D40A7" w:rsidRPr="00073ADD" w:rsidRDefault="009D40A7" w:rsidP="009D40A7">
            <w:pPr>
              <w:pStyle w:val="Listenabsatz"/>
              <w:spacing w:line="218" w:lineRule="exact"/>
              <w:ind w:left="30" w:right="254"/>
              <w:jc w:val="both"/>
              <w:rPr>
                <w:rFonts w:ascii="Calibri Light" w:eastAsia="Calibri" w:hAnsi="Calibri Light"/>
                <w:sz w:val="22"/>
                <w:szCs w:val="22"/>
                <w:lang w:val="en-US" w:eastAsia="en-US"/>
              </w:rPr>
            </w:pPr>
            <w:r w:rsidRPr="00073ADD">
              <w:rPr>
                <w:rFonts w:ascii="Calibri Light" w:eastAsia="Calibri" w:hAnsi="Calibri Light"/>
                <w:sz w:val="22"/>
                <w:szCs w:val="22"/>
                <w:lang w:val="en-US" w:eastAsia="en-US"/>
              </w:rPr>
              <w:t>____________</w:t>
            </w:r>
            <w:r>
              <w:rPr>
                <w:rFonts w:ascii="Calibri Light" w:eastAsia="Calibri" w:hAnsi="Calibri Light"/>
                <w:sz w:val="22"/>
                <w:szCs w:val="22"/>
                <w:lang w:val="en-US" w:eastAsia="en-US"/>
              </w:rPr>
              <w:t>__________________________</w:t>
            </w:r>
          </w:p>
        </w:tc>
      </w:tr>
      <w:tr w:rsidR="009D40A7" w:rsidRPr="00073ADD" w14:paraId="12FCBCF3" w14:textId="77777777" w:rsidTr="009F4509">
        <w:tc>
          <w:tcPr>
            <w:tcW w:w="4536" w:type="dxa"/>
            <w:shd w:val="clear" w:color="auto" w:fill="auto"/>
          </w:tcPr>
          <w:p w14:paraId="12FCBCF0" w14:textId="77777777" w:rsidR="009D40A7" w:rsidRPr="00073ADD" w:rsidRDefault="009D40A7" w:rsidP="009D40A7">
            <w:pPr>
              <w:pStyle w:val="Listenabsatz"/>
              <w:spacing w:line="218" w:lineRule="exact"/>
              <w:ind w:left="30" w:right="254"/>
              <w:jc w:val="both"/>
              <w:rPr>
                <w:rFonts w:ascii="Calibri Light" w:eastAsia="Calibri" w:hAnsi="Calibri Light"/>
                <w:sz w:val="22"/>
                <w:szCs w:val="22"/>
                <w:lang w:val="en-US" w:eastAsia="en-US"/>
              </w:rPr>
            </w:pPr>
          </w:p>
        </w:tc>
        <w:tc>
          <w:tcPr>
            <w:tcW w:w="4808" w:type="dxa"/>
            <w:shd w:val="clear" w:color="auto" w:fill="auto"/>
          </w:tcPr>
          <w:p w14:paraId="12FCBCF2" w14:textId="11152437" w:rsidR="009D40A7" w:rsidRPr="009F4509" w:rsidRDefault="009D40A7" w:rsidP="009D40A7">
            <w:pPr>
              <w:spacing w:line="218" w:lineRule="exact"/>
              <w:ind w:right="254"/>
              <w:jc w:val="both"/>
              <w:rPr>
                <w:lang w:val="en-US"/>
              </w:rPr>
            </w:pPr>
            <w:r w:rsidRPr="009F4509">
              <w:rPr>
                <w:b/>
                <w:lang w:val="en-US"/>
              </w:rPr>
              <w:t>NBHX |</w:t>
            </w:r>
            <w:r>
              <w:rPr>
                <w:lang w:val="en-US"/>
              </w:rPr>
              <w:t xml:space="preserve"> </w:t>
            </w:r>
            <w:r w:rsidRPr="009F4509">
              <w:rPr>
                <w:lang w:val="en-US"/>
              </w:rPr>
              <w:t>Gez.: (Datum / Unterschrift)</w:t>
            </w:r>
          </w:p>
        </w:tc>
      </w:tr>
      <w:tr w:rsidR="009D40A7" w:rsidRPr="009F4509" w14:paraId="4B5D2AF2" w14:textId="77777777" w:rsidTr="009F4509">
        <w:tc>
          <w:tcPr>
            <w:tcW w:w="4536" w:type="dxa"/>
            <w:shd w:val="clear" w:color="auto" w:fill="auto"/>
          </w:tcPr>
          <w:p w14:paraId="669F47A9" w14:textId="77777777" w:rsidR="009D40A7" w:rsidRPr="009F4509" w:rsidRDefault="009D40A7" w:rsidP="009D40A7">
            <w:pPr>
              <w:pStyle w:val="Listenabsatz"/>
              <w:spacing w:line="218" w:lineRule="exact"/>
              <w:ind w:left="30" w:right="254"/>
              <w:jc w:val="both"/>
              <w:rPr>
                <w:rFonts w:ascii="Calibri Light" w:eastAsia="Calibri" w:hAnsi="Calibri Light"/>
                <w:sz w:val="22"/>
                <w:szCs w:val="22"/>
                <w:lang w:val="en-US" w:eastAsia="en-US"/>
              </w:rPr>
            </w:pPr>
            <w:r w:rsidRPr="009F4509">
              <w:rPr>
                <w:rFonts w:ascii="Calibri Light" w:eastAsia="Calibri" w:hAnsi="Calibri Light"/>
                <w:b/>
                <w:sz w:val="22"/>
                <w:szCs w:val="22"/>
                <w:lang w:val="en-US" w:eastAsia="en-US"/>
              </w:rPr>
              <w:t>NBHX |</w:t>
            </w:r>
            <w:r w:rsidRPr="009F4509">
              <w:rPr>
                <w:rFonts w:ascii="Calibri Light" w:eastAsia="Calibri" w:hAnsi="Calibri Light"/>
                <w:sz w:val="22"/>
                <w:szCs w:val="22"/>
                <w:lang w:val="en-US" w:eastAsia="en-US"/>
              </w:rPr>
              <w:t xml:space="preserve"> </w:t>
            </w:r>
            <w:r>
              <w:rPr>
                <w:rFonts w:ascii="Calibri Light" w:eastAsia="Calibri" w:hAnsi="Calibri Light"/>
                <w:sz w:val="22"/>
                <w:szCs w:val="22"/>
                <w:lang w:val="en-US" w:eastAsia="en-US"/>
              </w:rPr>
              <w:t>Na</w:t>
            </w:r>
            <w:r w:rsidRPr="009F4509">
              <w:rPr>
                <w:rFonts w:ascii="Calibri Light" w:eastAsia="Calibri" w:hAnsi="Calibri Light"/>
                <w:sz w:val="22"/>
                <w:szCs w:val="22"/>
                <w:lang w:val="en-US" w:eastAsia="en-US"/>
              </w:rPr>
              <w:t>me, Funktion (Druckbuchstaben)</w:t>
            </w:r>
          </w:p>
        </w:tc>
        <w:tc>
          <w:tcPr>
            <w:tcW w:w="4808" w:type="dxa"/>
            <w:shd w:val="clear" w:color="auto" w:fill="auto"/>
          </w:tcPr>
          <w:p w14:paraId="078D1B4E" w14:textId="6F458909" w:rsidR="009D40A7" w:rsidRPr="009F4509" w:rsidRDefault="009D40A7" w:rsidP="009D40A7">
            <w:pPr>
              <w:pStyle w:val="Listenabsatz"/>
              <w:spacing w:line="218" w:lineRule="exact"/>
              <w:ind w:left="30" w:right="254"/>
              <w:jc w:val="both"/>
              <w:rPr>
                <w:rFonts w:ascii="Calibri Light" w:eastAsia="Calibri" w:hAnsi="Calibri Light"/>
                <w:sz w:val="22"/>
                <w:szCs w:val="22"/>
                <w:lang w:val="en-US" w:eastAsia="en-US"/>
              </w:rPr>
            </w:pPr>
          </w:p>
        </w:tc>
      </w:tr>
      <w:tr w:rsidR="009D40A7" w14:paraId="65D4D45F" w14:textId="77777777" w:rsidTr="009F4509">
        <w:tc>
          <w:tcPr>
            <w:tcW w:w="4536" w:type="dxa"/>
            <w:shd w:val="clear" w:color="auto" w:fill="auto"/>
          </w:tcPr>
          <w:p w14:paraId="165ED26E" w14:textId="77777777" w:rsidR="009D40A7" w:rsidRDefault="009D40A7" w:rsidP="009D40A7">
            <w:pPr>
              <w:pStyle w:val="Listenabsatz"/>
              <w:spacing w:line="218" w:lineRule="exact"/>
              <w:ind w:left="30" w:right="254"/>
              <w:jc w:val="both"/>
              <w:rPr>
                <w:rFonts w:ascii="Calibri Light" w:eastAsia="Calibri" w:hAnsi="Calibri Light"/>
                <w:sz w:val="22"/>
                <w:szCs w:val="22"/>
                <w:lang w:val="en-US" w:eastAsia="en-US"/>
              </w:rPr>
            </w:pPr>
          </w:p>
          <w:p w14:paraId="7BD5A2EA" w14:textId="77777777" w:rsidR="009D40A7" w:rsidRDefault="009D40A7" w:rsidP="009D40A7">
            <w:pPr>
              <w:pStyle w:val="Listenabsatz"/>
              <w:spacing w:line="218" w:lineRule="exact"/>
              <w:ind w:left="30" w:right="254"/>
              <w:jc w:val="both"/>
              <w:rPr>
                <w:rFonts w:ascii="Calibri Light" w:eastAsia="Calibri" w:hAnsi="Calibri Light"/>
                <w:sz w:val="22"/>
                <w:szCs w:val="22"/>
                <w:lang w:val="en-US" w:eastAsia="en-US"/>
              </w:rPr>
            </w:pPr>
          </w:p>
          <w:p w14:paraId="504554D0" w14:textId="7573F046" w:rsidR="009D40A7" w:rsidRPr="009F4509" w:rsidRDefault="009D40A7" w:rsidP="009D40A7">
            <w:pPr>
              <w:pStyle w:val="Listenabsatz"/>
              <w:spacing w:line="218" w:lineRule="exact"/>
              <w:ind w:left="30" w:right="254"/>
              <w:jc w:val="both"/>
              <w:rPr>
                <w:rFonts w:ascii="Calibri Light" w:eastAsia="Calibri" w:hAnsi="Calibri Light"/>
                <w:sz w:val="22"/>
                <w:szCs w:val="22"/>
                <w:lang w:val="en-US" w:eastAsia="en-US"/>
              </w:rPr>
            </w:pPr>
          </w:p>
        </w:tc>
        <w:tc>
          <w:tcPr>
            <w:tcW w:w="4808" w:type="dxa"/>
            <w:shd w:val="clear" w:color="auto" w:fill="auto"/>
          </w:tcPr>
          <w:p w14:paraId="0ED393AC" w14:textId="572ED4F7" w:rsidR="009D40A7" w:rsidRPr="009F5E6C" w:rsidRDefault="009D40A7" w:rsidP="009D40A7">
            <w:pPr>
              <w:spacing w:line="218" w:lineRule="exact"/>
              <w:ind w:right="254"/>
              <w:jc w:val="both"/>
              <w:rPr>
                <w:lang w:val="en-US"/>
              </w:rPr>
            </w:pPr>
          </w:p>
        </w:tc>
      </w:tr>
      <w:tr w:rsidR="009D40A7" w:rsidRPr="00073ADD" w14:paraId="39D59B8B" w14:textId="77777777" w:rsidTr="009F4509">
        <w:tc>
          <w:tcPr>
            <w:tcW w:w="4536" w:type="dxa"/>
            <w:shd w:val="clear" w:color="auto" w:fill="auto"/>
          </w:tcPr>
          <w:p w14:paraId="3B634E64" w14:textId="001F68F3" w:rsidR="009D40A7" w:rsidRPr="009F5E6C" w:rsidRDefault="009D40A7" w:rsidP="009D40A7">
            <w:pPr>
              <w:spacing w:line="218" w:lineRule="exact"/>
              <w:ind w:right="254"/>
              <w:jc w:val="both"/>
              <w:rPr>
                <w:lang w:val="en-US"/>
              </w:rPr>
            </w:pPr>
            <w:r w:rsidRPr="009F4509">
              <w:rPr>
                <w:lang w:val="en-US"/>
              </w:rPr>
              <w:t>_____</w:t>
            </w:r>
            <w:r>
              <w:rPr>
                <w:lang w:val="en-US"/>
              </w:rPr>
              <w:t>______</w:t>
            </w:r>
            <w:r w:rsidRPr="009F4509">
              <w:rPr>
                <w:lang w:val="en-US"/>
              </w:rPr>
              <w:t>_______</w:t>
            </w:r>
            <w:r>
              <w:rPr>
                <w:lang w:val="en-US"/>
              </w:rPr>
              <w:t>_</w:t>
            </w:r>
            <w:r w:rsidRPr="009F4509">
              <w:rPr>
                <w:lang w:val="en-US"/>
              </w:rPr>
              <w:t>___________________</w:t>
            </w:r>
          </w:p>
        </w:tc>
        <w:tc>
          <w:tcPr>
            <w:tcW w:w="4808" w:type="dxa"/>
            <w:shd w:val="clear" w:color="auto" w:fill="auto"/>
          </w:tcPr>
          <w:p w14:paraId="6BC32E56" w14:textId="0F79DE76" w:rsidR="009D40A7" w:rsidRPr="00073ADD" w:rsidRDefault="009D40A7" w:rsidP="009D40A7">
            <w:pPr>
              <w:pStyle w:val="Listenabsatz"/>
              <w:spacing w:line="218" w:lineRule="exact"/>
              <w:ind w:left="30" w:right="254"/>
              <w:jc w:val="both"/>
              <w:rPr>
                <w:rFonts w:ascii="Calibri Light" w:eastAsia="Calibri" w:hAnsi="Calibri Light"/>
                <w:sz w:val="22"/>
                <w:szCs w:val="22"/>
                <w:lang w:val="en-US" w:eastAsia="en-US"/>
              </w:rPr>
            </w:pPr>
            <w:r w:rsidRPr="009F5E6C">
              <w:rPr>
                <w:rFonts w:ascii="Calibri Light" w:eastAsia="Calibri" w:hAnsi="Calibri Light"/>
                <w:sz w:val="22"/>
                <w:szCs w:val="22"/>
                <w:lang w:val="en-US" w:eastAsia="en-US"/>
              </w:rPr>
              <w:t>______________________________________</w:t>
            </w:r>
          </w:p>
        </w:tc>
      </w:tr>
      <w:tr w:rsidR="009D40A7" w:rsidRPr="00073ADD" w14:paraId="7416E44A" w14:textId="77777777" w:rsidTr="009F4509">
        <w:tc>
          <w:tcPr>
            <w:tcW w:w="4536" w:type="dxa"/>
            <w:shd w:val="clear" w:color="auto" w:fill="auto"/>
          </w:tcPr>
          <w:p w14:paraId="0DC014D5" w14:textId="77777777" w:rsidR="009D40A7" w:rsidRDefault="009D40A7" w:rsidP="009D40A7">
            <w:pPr>
              <w:spacing w:line="218" w:lineRule="exact"/>
              <w:ind w:right="254"/>
              <w:jc w:val="both"/>
              <w:rPr>
                <w:lang w:val="en-US"/>
              </w:rPr>
            </w:pPr>
          </w:p>
          <w:p w14:paraId="20BE197B" w14:textId="77777777" w:rsidR="009D40A7" w:rsidRDefault="009D40A7" w:rsidP="009D40A7">
            <w:pPr>
              <w:spacing w:line="218" w:lineRule="exact"/>
              <w:ind w:right="254"/>
              <w:jc w:val="both"/>
              <w:rPr>
                <w:lang w:val="en-US"/>
              </w:rPr>
            </w:pPr>
          </w:p>
          <w:p w14:paraId="3697A631" w14:textId="1CEBE508" w:rsidR="009D40A7" w:rsidRPr="009F4509" w:rsidRDefault="009D40A7" w:rsidP="009D40A7">
            <w:pPr>
              <w:spacing w:line="218" w:lineRule="exact"/>
              <w:ind w:right="254"/>
              <w:jc w:val="both"/>
              <w:rPr>
                <w:lang w:val="en-US"/>
              </w:rPr>
            </w:pPr>
          </w:p>
        </w:tc>
        <w:tc>
          <w:tcPr>
            <w:tcW w:w="4808" w:type="dxa"/>
            <w:shd w:val="clear" w:color="auto" w:fill="auto"/>
          </w:tcPr>
          <w:p w14:paraId="1C97514E" w14:textId="2BA68E20" w:rsidR="009D40A7" w:rsidRPr="009F4509" w:rsidRDefault="009D40A7" w:rsidP="009D40A7">
            <w:pPr>
              <w:spacing w:line="218" w:lineRule="exact"/>
              <w:ind w:right="254"/>
              <w:jc w:val="both"/>
              <w:rPr>
                <w:lang w:val="en-US"/>
              </w:rPr>
            </w:pPr>
            <w:r w:rsidRPr="009F4509">
              <w:rPr>
                <w:b/>
                <w:lang w:val="en-US"/>
              </w:rPr>
              <w:t xml:space="preserve">NBHX | </w:t>
            </w:r>
            <w:r w:rsidRPr="009F4509">
              <w:rPr>
                <w:lang w:val="en-US"/>
              </w:rPr>
              <w:t>Gez.: (Datum / Unterschrift)</w:t>
            </w:r>
          </w:p>
        </w:tc>
      </w:tr>
      <w:tr w:rsidR="009D40A7" w:rsidRPr="009F4509" w14:paraId="5573BDA5" w14:textId="77777777" w:rsidTr="009F4509">
        <w:tc>
          <w:tcPr>
            <w:tcW w:w="4536" w:type="dxa"/>
            <w:shd w:val="clear" w:color="auto" w:fill="auto"/>
          </w:tcPr>
          <w:p w14:paraId="3EB4D4F9" w14:textId="623A4F4B" w:rsidR="009D40A7" w:rsidRPr="009F4509" w:rsidRDefault="009D40A7" w:rsidP="009D40A7">
            <w:pPr>
              <w:pStyle w:val="Listenabsatz"/>
              <w:spacing w:line="218" w:lineRule="exact"/>
              <w:ind w:left="30" w:right="254"/>
              <w:jc w:val="both"/>
              <w:rPr>
                <w:rFonts w:ascii="Calibri Light" w:eastAsia="Calibri" w:hAnsi="Calibri Light"/>
                <w:sz w:val="22"/>
                <w:szCs w:val="22"/>
                <w:lang w:val="en-US" w:eastAsia="en-US"/>
              </w:rPr>
            </w:pPr>
            <w:r w:rsidRPr="009F4509">
              <w:rPr>
                <w:rFonts w:ascii="Calibri Light" w:eastAsia="Calibri" w:hAnsi="Calibri Light"/>
                <w:b/>
                <w:sz w:val="22"/>
                <w:szCs w:val="22"/>
                <w:lang w:val="en-US" w:eastAsia="en-US"/>
              </w:rPr>
              <w:t>Partner |</w:t>
            </w:r>
            <w:r w:rsidRPr="009F4509">
              <w:rPr>
                <w:rFonts w:ascii="Calibri Light" w:eastAsia="Calibri" w:hAnsi="Calibri Light"/>
                <w:sz w:val="22"/>
                <w:szCs w:val="22"/>
                <w:lang w:val="en-US" w:eastAsia="en-US"/>
              </w:rPr>
              <w:t xml:space="preserve"> </w:t>
            </w:r>
            <w:r>
              <w:rPr>
                <w:rFonts w:ascii="Calibri Light" w:eastAsia="Calibri" w:hAnsi="Calibri Light"/>
                <w:sz w:val="22"/>
                <w:szCs w:val="22"/>
                <w:lang w:val="en-US" w:eastAsia="en-US"/>
              </w:rPr>
              <w:t>Na</w:t>
            </w:r>
            <w:r w:rsidRPr="009F4509">
              <w:rPr>
                <w:rFonts w:ascii="Calibri Light" w:eastAsia="Calibri" w:hAnsi="Calibri Light"/>
                <w:sz w:val="22"/>
                <w:szCs w:val="22"/>
                <w:lang w:val="en-US" w:eastAsia="en-US"/>
              </w:rPr>
              <w:t>me, Funktion (Druckbuchstaben</w:t>
            </w:r>
            <w:r w:rsidR="00403C36">
              <w:rPr>
                <w:rFonts w:ascii="Calibri Light" w:eastAsia="Calibri" w:hAnsi="Calibri Light"/>
                <w:sz w:val="22"/>
                <w:szCs w:val="22"/>
                <w:lang w:val="en-US" w:eastAsia="en-US"/>
              </w:rPr>
              <w:t>)</w:t>
            </w:r>
          </w:p>
        </w:tc>
        <w:tc>
          <w:tcPr>
            <w:tcW w:w="4808" w:type="dxa"/>
            <w:shd w:val="clear" w:color="auto" w:fill="auto"/>
          </w:tcPr>
          <w:p w14:paraId="3A5B23A8" w14:textId="48632B2B" w:rsidR="009D40A7" w:rsidRPr="009F4509" w:rsidRDefault="009D40A7" w:rsidP="009D40A7">
            <w:pPr>
              <w:pStyle w:val="Listenabsatz"/>
              <w:spacing w:line="218" w:lineRule="exact"/>
              <w:ind w:left="30" w:right="254"/>
              <w:jc w:val="both"/>
              <w:rPr>
                <w:rFonts w:ascii="Calibri Light" w:eastAsia="Calibri" w:hAnsi="Calibri Light"/>
                <w:sz w:val="22"/>
                <w:szCs w:val="22"/>
                <w:lang w:val="en-US" w:eastAsia="en-US"/>
              </w:rPr>
            </w:pPr>
          </w:p>
        </w:tc>
      </w:tr>
      <w:tr w:rsidR="009D40A7" w14:paraId="56AE3859" w14:textId="77777777" w:rsidTr="009F4509">
        <w:tc>
          <w:tcPr>
            <w:tcW w:w="4536" w:type="dxa"/>
            <w:shd w:val="clear" w:color="auto" w:fill="auto"/>
          </w:tcPr>
          <w:p w14:paraId="5CBBEA54" w14:textId="77777777" w:rsidR="009D40A7" w:rsidRDefault="009D40A7" w:rsidP="009D40A7">
            <w:pPr>
              <w:pStyle w:val="Listenabsatz"/>
              <w:spacing w:line="218" w:lineRule="exact"/>
              <w:ind w:left="30" w:right="254"/>
              <w:jc w:val="both"/>
              <w:rPr>
                <w:rFonts w:ascii="Calibri Light" w:eastAsia="Calibri" w:hAnsi="Calibri Light"/>
                <w:sz w:val="22"/>
                <w:szCs w:val="22"/>
                <w:lang w:val="en-US" w:eastAsia="en-US"/>
              </w:rPr>
            </w:pPr>
          </w:p>
          <w:p w14:paraId="5FE52972" w14:textId="77777777" w:rsidR="009D40A7" w:rsidRDefault="009D40A7" w:rsidP="009D40A7">
            <w:pPr>
              <w:pStyle w:val="Listenabsatz"/>
              <w:spacing w:line="218" w:lineRule="exact"/>
              <w:ind w:left="30" w:right="254"/>
              <w:jc w:val="both"/>
              <w:rPr>
                <w:rFonts w:ascii="Calibri Light" w:eastAsia="Calibri" w:hAnsi="Calibri Light"/>
                <w:sz w:val="22"/>
                <w:szCs w:val="22"/>
                <w:lang w:val="en-US" w:eastAsia="en-US"/>
              </w:rPr>
            </w:pPr>
          </w:p>
          <w:p w14:paraId="543F4612" w14:textId="3019913A" w:rsidR="009D40A7" w:rsidRPr="009F4509" w:rsidRDefault="009D40A7" w:rsidP="009D40A7">
            <w:pPr>
              <w:pStyle w:val="Listenabsatz"/>
              <w:spacing w:line="218" w:lineRule="exact"/>
              <w:ind w:left="30" w:right="254"/>
              <w:jc w:val="both"/>
              <w:rPr>
                <w:rFonts w:ascii="Calibri Light" w:eastAsia="Calibri" w:hAnsi="Calibri Light"/>
                <w:sz w:val="22"/>
                <w:szCs w:val="22"/>
                <w:lang w:val="en-US" w:eastAsia="en-US"/>
              </w:rPr>
            </w:pPr>
          </w:p>
        </w:tc>
        <w:tc>
          <w:tcPr>
            <w:tcW w:w="4808" w:type="dxa"/>
            <w:shd w:val="clear" w:color="auto" w:fill="auto"/>
          </w:tcPr>
          <w:p w14:paraId="1A70064B" w14:textId="697E622E" w:rsidR="009D40A7" w:rsidRPr="009F5E6C" w:rsidRDefault="009D40A7" w:rsidP="009D40A7">
            <w:pPr>
              <w:spacing w:line="218" w:lineRule="exact"/>
              <w:ind w:right="254"/>
              <w:jc w:val="both"/>
              <w:rPr>
                <w:lang w:val="en-US"/>
              </w:rPr>
            </w:pPr>
          </w:p>
        </w:tc>
      </w:tr>
      <w:tr w:rsidR="009D40A7" w:rsidRPr="00073ADD" w14:paraId="595A6ACD" w14:textId="77777777" w:rsidTr="009F4509">
        <w:tc>
          <w:tcPr>
            <w:tcW w:w="4536" w:type="dxa"/>
            <w:shd w:val="clear" w:color="auto" w:fill="auto"/>
          </w:tcPr>
          <w:p w14:paraId="4C51B7BC" w14:textId="66E589FF" w:rsidR="009D40A7" w:rsidRPr="009D40A7" w:rsidRDefault="009D40A7" w:rsidP="009D40A7">
            <w:pPr>
              <w:spacing w:line="218" w:lineRule="exact"/>
              <w:ind w:right="254"/>
              <w:jc w:val="both"/>
              <w:rPr>
                <w:lang w:val="en-US"/>
              </w:rPr>
            </w:pPr>
            <w:r w:rsidRPr="009F4509">
              <w:rPr>
                <w:lang w:val="en-US"/>
              </w:rPr>
              <w:t>___________</w:t>
            </w:r>
            <w:r>
              <w:rPr>
                <w:lang w:val="en-US"/>
              </w:rPr>
              <w:t>_______</w:t>
            </w:r>
            <w:r w:rsidRPr="009F4509">
              <w:rPr>
                <w:lang w:val="en-US"/>
              </w:rPr>
              <w:t>____________________</w:t>
            </w:r>
          </w:p>
        </w:tc>
        <w:tc>
          <w:tcPr>
            <w:tcW w:w="4808" w:type="dxa"/>
            <w:shd w:val="clear" w:color="auto" w:fill="auto"/>
          </w:tcPr>
          <w:p w14:paraId="760282A2" w14:textId="06C1E0ED" w:rsidR="009D40A7" w:rsidRPr="00073ADD" w:rsidRDefault="009D40A7" w:rsidP="009D40A7">
            <w:pPr>
              <w:pStyle w:val="Listenabsatz"/>
              <w:spacing w:line="218" w:lineRule="exact"/>
              <w:ind w:left="30" w:right="254"/>
              <w:jc w:val="both"/>
              <w:rPr>
                <w:rFonts w:ascii="Calibri Light" w:eastAsia="Calibri" w:hAnsi="Calibri Light"/>
                <w:sz w:val="22"/>
                <w:szCs w:val="22"/>
                <w:lang w:val="en-US" w:eastAsia="en-US"/>
              </w:rPr>
            </w:pPr>
            <w:r w:rsidRPr="009F5E6C">
              <w:rPr>
                <w:rFonts w:ascii="Calibri Light" w:eastAsia="Calibri" w:hAnsi="Calibri Light"/>
                <w:sz w:val="22"/>
                <w:szCs w:val="22"/>
                <w:lang w:val="en-US" w:eastAsia="en-US"/>
              </w:rPr>
              <w:t>______________________________________</w:t>
            </w:r>
          </w:p>
        </w:tc>
      </w:tr>
      <w:tr w:rsidR="009D40A7" w:rsidRPr="00073ADD" w14:paraId="4040E227" w14:textId="77777777" w:rsidTr="009F4509">
        <w:tc>
          <w:tcPr>
            <w:tcW w:w="4536" w:type="dxa"/>
            <w:shd w:val="clear" w:color="auto" w:fill="auto"/>
          </w:tcPr>
          <w:p w14:paraId="73B271C9" w14:textId="77777777" w:rsidR="009D40A7" w:rsidRPr="009F4509" w:rsidRDefault="009D40A7" w:rsidP="009D40A7">
            <w:pPr>
              <w:spacing w:line="218" w:lineRule="exact"/>
              <w:ind w:right="254"/>
              <w:jc w:val="both"/>
              <w:rPr>
                <w:lang w:val="en-US"/>
              </w:rPr>
            </w:pPr>
          </w:p>
        </w:tc>
        <w:tc>
          <w:tcPr>
            <w:tcW w:w="4808" w:type="dxa"/>
            <w:shd w:val="clear" w:color="auto" w:fill="auto"/>
          </w:tcPr>
          <w:p w14:paraId="1FC41406" w14:textId="25223C4F" w:rsidR="009D40A7" w:rsidRPr="009F4509" w:rsidRDefault="009D40A7" w:rsidP="009D40A7">
            <w:pPr>
              <w:pStyle w:val="Listenabsatz"/>
              <w:spacing w:line="218" w:lineRule="exact"/>
              <w:ind w:left="30" w:right="254"/>
              <w:jc w:val="both"/>
              <w:rPr>
                <w:rFonts w:ascii="Calibri Light" w:eastAsia="Calibri" w:hAnsi="Calibri Light"/>
                <w:b/>
                <w:sz w:val="22"/>
                <w:szCs w:val="22"/>
                <w:lang w:val="en-US" w:eastAsia="en-US"/>
              </w:rPr>
            </w:pPr>
            <w:r w:rsidRPr="009F4509">
              <w:rPr>
                <w:rFonts w:ascii="Calibri Light" w:eastAsia="Calibri" w:hAnsi="Calibri Light"/>
                <w:b/>
                <w:sz w:val="22"/>
                <w:szCs w:val="22"/>
                <w:lang w:val="en-US" w:eastAsia="en-US"/>
              </w:rPr>
              <w:t>Partner |</w:t>
            </w:r>
            <w:r>
              <w:rPr>
                <w:rFonts w:ascii="Calibri Light" w:eastAsia="Calibri" w:hAnsi="Calibri Light"/>
                <w:sz w:val="22"/>
                <w:szCs w:val="22"/>
                <w:lang w:val="en-US" w:eastAsia="en-US"/>
              </w:rPr>
              <w:t xml:space="preserve"> </w:t>
            </w:r>
            <w:r w:rsidRPr="009F4509">
              <w:rPr>
                <w:rFonts w:ascii="Calibri Light" w:eastAsia="Calibri" w:hAnsi="Calibri Light"/>
                <w:sz w:val="22"/>
                <w:szCs w:val="22"/>
                <w:lang w:val="en-US" w:eastAsia="en-US"/>
              </w:rPr>
              <w:t>Gez.: (Datum / Unterschrift)</w:t>
            </w:r>
          </w:p>
        </w:tc>
      </w:tr>
    </w:tbl>
    <w:p w14:paraId="12FCBCF4" w14:textId="77777777" w:rsidR="00CB679E" w:rsidRPr="008B0CD9" w:rsidRDefault="00CB679E" w:rsidP="009F4509">
      <w:pPr>
        <w:rPr>
          <w:rFonts w:cs="Arial"/>
          <w:b/>
          <w:sz w:val="20"/>
          <w:szCs w:val="20"/>
        </w:rPr>
      </w:pPr>
    </w:p>
    <w:sectPr w:rsidR="00CB679E" w:rsidRPr="008B0CD9" w:rsidSect="00782A14">
      <w:headerReference w:type="default" r:id="rId12"/>
      <w:footerReference w:type="default" r:id="rId13"/>
      <w:headerReference w:type="first" r:id="rId14"/>
      <w:footerReference w:type="first" r:id="rId15"/>
      <w:pgSz w:w="11906" w:h="16838"/>
      <w:pgMar w:top="1673" w:right="1418" w:bottom="426" w:left="1418" w:header="680"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4D69D" w14:textId="77777777" w:rsidR="00F35CD9" w:rsidRDefault="00F35CD9" w:rsidP="0088358F">
      <w:pPr>
        <w:spacing w:after="0" w:line="240" w:lineRule="auto"/>
      </w:pPr>
      <w:r>
        <w:separator/>
      </w:r>
    </w:p>
  </w:endnote>
  <w:endnote w:type="continuationSeparator" w:id="0">
    <w:p w14:paraId="6790A960" w14:textId="77777777" w:rsidR="00F35CD9" w:rsidRDefault="00F35CD9" w:rsidP="00883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CBCFD" w14:textId="77777777" w:rsidR="00345742" w:rsidRDefault="0042063B" w:rsidP="003D2FC7">
    <w:pPr>
      <w:pStyle w:val="Fuzeile"/>
      <w:jc w:val="center"/>
      <w:rPr>
        <w:rFonts w:cs="Calibri"/>
        <w:sz w:val="14"/>
        <w:szCs w:val="14"/>
      </w:rPr>
    </w:pPr>
    <w:r>
      <w:rPr>
        <w:rFonts w:cs="Calibri"/>
        <w:noProof/>
        <w:sz w:val="14"/>
        <w:szCs w:val="14"/>
        <w:lang w:eastAsia="de-DE"/>
      </w:rPr>
      <w:drawing>
        <wp:anchor distT="0" distB="0" distL="114300" distR="114300" simplePos="0" relativeHeight="251658240" behindDoc="0" locked="0" layoutInCell="1" allowOverlap="1" wp14:anchorId="12FCBD07" wp14:editId="12FCBD08">
          <wp:simplePos x="0" y="0"/>
          <wp:positionH relativeFrom="margin">
            <wp:posOffset>-204470</wp:posOffset>
          </wp:positionH>
          <wp:positionV relativeFrom="paragraph">
            <wp:posOffset>50800</wp:posOffset>
          </wp:positionV>
          <wp:extent cx="6264275" cy="53340"/>
          <wp:effectExtent l="0" t="0" r="3175" b="3810"/>
          <wp:wrapNone/>
          <wp:docPr id="8" name="Bild 8" descr="linie_blue-r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nie_blue-re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4275" cy="53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FCBCFE" w14:textId="77777777" w:rsidR="00345742" w:rsidRDefault="00345742" w:rsidP="003D2FC7">
    <w:pPr>
      <w:pStyle w:val="Fuzeile"/>
      <w:jc w:val="center"/>
      <w:rPr>
        <w:rFonts w:cs="Calibri"/>
        <w:sz w:val="14"/>
        <w:szCs w:val="14"/>
      </w:rPr>
    </w:pPr>
  </w:p>
  <w:p w14:paraId="12FCBCFF" w14:textId="77777777" w:rsidR="00345742" w:rsidRPr="002D396E" w:rsidRDefault="0042063B" w:rsidP="00C137F9">
    <w:pPr>
      <w:pStyle w:val="Fuzeile"/>
      <w:jc w:val="center"/>
      <w:rPr>
        <w:rFonts w:ascii="Century Gothic" w:hAnsi="Century Gothic" w:cs="Calibri"/>
        <w:sz w:val="14"/>
        <w:szCs w:val="14"/>
        <w:lang w:val="en-US"/>
      </w:rPr>
    </w:pPr>
    <w:r>
      <w:rPr>
        <w:rFonts w:cs="Calibri"/>
        <w:noProof/>
        <w:sz w:val="14"/>
        <w:szCs w:val="14"/>
        <w:lang w:eastAsia="de-DE"/>
      </w:rPr>
      <w:drawing>
        <wp:inline distT="0" distB="0" distL="0" distR="0" wp14:anchorId="12FCBD09" wp14:editId="12FCBD0A">
          <wp:extent cx="1836420" cy="198120"/>
          <wp:effectExtent l="0" t="0" r="0" b="0"/>
          <wp:docPr id="1" name="Bild 1" descr="Members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bers_N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6420" cy="198120"/>
                  </a:xfrm>
                  <a:prstGeom prst="rect">
                    <a:avLst/>
                  </a:prstGeom>
                  <a:noFill/>
                  <a:ln>
                    <a:noFill/>
                  </a:ln>
                </pic:spPr>
              </pic:pic>
            </a:graphicData>
          </a:graphic>
        </wp:inline>
      </w:drawing>
    </w:r>
  </w:p>
  <w:p w14:paraId="12FCBD00" w14:textId="77777777" w:rsidR="00345742" w:rsidRPr="00CD587A" w:rsidRDefault="00345742" w:rsidP="003D2FC7">
    <w:pPr>
      <w:pStyle w:val="Fuzeile"/>
      <w:jc w:val="center"/>
      <w:rPr>
        <w:rFonts w:ascii="Century Gothic" w:hAnsi="Century Gothic" w:cs="Calibri"/>
        <w:sz w:val="8"/>
        <w:szCs w:val="14"/>
        <w:lang w:val="en-US"/>
      </w:rPr>
    </w:pPr>
  </w:p>
  <w:p w14:paraId="12FCBD01" w14:textId="6165B7CC" w:rsidR="00345742" w:rsidRPr="00F306C0" w:rsidRDefault="00490814" w:rsidP="00C137F9">
    <w:pPr>
      <w:pStyle w:val="Fuzeile"/>
      <w:rPr>
        <w:rFonts w:ascii="Century Gothic" w:hAnsi="Century Gothic"/>
        <w:sz w:val="14"/>
        <w:lang w:val="en-US"/>
      </w:rPr>
    </w:pPr>
    <w:r w:rsidRPr="00717C79">
      <w:rPr>
        <w:rFonts w:ascii="Century Gothic" w:hAnsi="Century Gothic"/>
        <w:sz w:val="14"/>
        <w:lang w:val="en-US"/>
      </w:rPr>
      <w:t>F</w:t>
    </w:r>
    <w:r w:rsidR="00782A14">
      <w:rPr>
        <w:rFonts w:ascii="Century Gothic" w:hAnsi="Century Gothic"/>
        <w:sz w:val="14"/>
        <w:lang w:val="en-US"/>
      </w:rPr>
      <w:t>1</w:t>
    </w:r>
    <w:r w:rsidR="00965AAC" w:rsidRPr="00717C79">
      <w:rPr>
        <w:rFonts w:ascii="Century Gothic" w:hAnsi="Century Gothic"/>
        <w:sz w:val="14"/>
        <w:lang w:val="en-US"/>
      </w:rPr>
      <w:t>_HQ_PR00</w:t>
    </w:r>
    <w:r w:rsidR="00782A14">
      <w:rPr>
        <w:rFonts w:ascii="Century Gothic" w:hAnsi="Century Gothic"/>
        <w:sz w:val="14"/>
        <w:lang w:val="en-US"/>
      </w:rPr>
      <w:t>6</w:t>
    </w:r>
    <w:r w:rsidR="00965AAC" w:rsidRPr="00717C79">
      <w:rPr>
        <w:rFonts w:ascii="Century Gothic" w:hAnsi="Century Gothic"/>
        <w:sz w:val="14"/>
        <w:lang w:val="en-US"/>
      </w:rPr>
      <w:t>-</w:t>
    </w:r>
    <w:r w:rsidR="00EE2302" w:rsidRPr="00717C79">
      <w:rPr>
        <w:rFonts w:ascii="Century Gothic" w:hAnsi="Century Gothic"/>
        <w:sz w:val="14"/>
        <w:lang w:val="en-US"/>
      </w:rPr>
      <w:t>D</w:t>
    </w:r>
    <w:r w:rsidR="00965AAC" w:rsidRPr="00717C79">
      <w:rPr>
        <w:rFonts w:ascii="Century Gothic" w:hAnsi="Century Gothic"/>
        <w:sz w:val="14"/>
        <w:lang w:val="en-US"/>
      </w:rPr>
      <w:t>_D</w:t>
    </w:r>
    <w:r w:rsidRPr="00717C79">
      <w:rPr>
        <w:rFonts w:ascii="Century Gothic" w:hAnsi="Century Gothic"/>
        <w:sz w:val="14"/>
        <w:lang w:val="en-US"/>
      </w:rPr>
      <w:t>2</w:t>
    </w:r>
    <w:r w:rsidR="00C137F9" w:rsidRPr="00F306C0">
      <w:rPr>
        <w:rFonts w:ascii="Century Gothic" w:hAnsi="Century Gothic"/>
        <w:sz w:val="14"/>
        <w:lang w:val="en-US"/>
      </w:rPr>
      <w:tab/>
    </w:r>
    <w:r w:rsidR="00345742" w:rsidRPr="00F306C0">
      <w:rPr>
        <w:rFonts w:ascii="Century Gothic" w:hAnsi="Century Gothic"/>
        <w:sz w:val="14"/>
        <w:lang w:val="en-US"/>
      </w:rPr>
      <w:t>Aut</w:t>
    </w:r>
    <w:r w:rsidR="00C137F9" w:rsidRPr="00F306C0">
      <w:rPr>
        <w:rFonts w:ascii="Century Gothic" w:hAnsi="Century Gothic"/>
        <w:sz w:val="14"/>
        <w:lang w:val="en-US"/>
      </w:rPr>
      <w:t>omotive Design Concepts</w:t>
    </w:r>
    <w:r w:rsidR="00C137F9" w:rsidRPr="00F306C0">
      <w:rPr>
        <w:rFonts w:ascii="Century Gothic" w:hAnsi="Century Gothic"/>
        <w:sz w:val="14"/>
        <w:lang w:val="en-US"/>
      </w:rPr>
      <w:tab/>
    </w:r>
    <w:r w:rsidR="00C137F9" w:rsidRPr="00A40512">
      <w:rPr>
        <w:sz w:val="18"/>
      </w:rPr>
      <w:fldChar w:fldCharType="begin"/>
    </w:r>
    <w:r w:rsidR="00C137F9" w:rsidRPr="00F306C0">
      <w:rPr>
        <w:sz w:val="18"/>
        <w:lang w:val="en-US"/>
      </w:rPr>
      <w:instrText>PAGE   \* MERGEFORMAT</w:instrText>
    </w:r>
    <w:r w:rsidR="00C137F9" w:rsidRPr="00A40512">
      <w:rPr>
        <w:sz w:val="18"/>
      </w:rPr>
      <w:fldChar w:fldCharType="separate"/>
    </w:r>
    <w:r w:rsidR="00A41134">
      <w:rPr>
        <w:noProof/>
        <w:sz w:val="18"/>
        <w:lang w:val="en-US"/>
      </w:rPr>
      <w:t>2</w:t>
    </w:r>
    <w:r w:rsidR="00C137F9" w:rsidRPr="00A40512">
      <w:rPr>
        <w:sz w:val="18"/>
      </w:rPr>
      <w:fldChar w:fldCharType="end"/>
    </w:r>
    <w:r w:rsidR="00345742" w:rsidRPr="00F306C0">
      <w:rPr>
        <w:rFonts w:ascii="Century Gothic" w:hAnsi="Century Gothic"/>
        <w:sz w:val="14"/>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CBD04" w14:textId="4DB5BF63" w:rsidR="00C137F9" w:rsidRPr="00965AAC" w:rsidRDefault="00490814" w:rsidP="00965AAC">
    <w:pPr>
      <w:pStyle w:val="Fuzeile"/>
    </w:pPr>
    <w:r w:rsidRPr="00717C79">
      <w:rPr>
        <w:rFonts w:ascii="Century Gothic" w:hAnsi="Century Gothic"/>
        <w:sz w:val="14"/>
      </w:rPr>
      <w:t>F</w:t>
    </w:r>
    <w:r w:rsidR="00782A14">
      <w:rPr>
        <w:rFonts w:ascii="Century Gothic" w:hAnsi="Century Gothic"/>
        <w:sz w:val="14"/>
      </w:rPr>
      <w:t>1</w:t>
    </w:r>
    <w:r w:rsidR="00965AAC" w:rsidRPr="00717C79">
      <w:rPr>
        <w:rFonts w:ascii="Century Gothic" w:hAnsi="Century Gothic"/>
        <w:sz w:val="14"/>
      </w:rPr>
      <w:t>_HQ_PR00</w:t>
    </w:r>
    <w:r w:rsidR="00782A14">
      <w:rPr>
        <w:rFonts w:ascii="Century Gothic" w:hAnsi="Century Gothic"/>
        <w:sz w:val="14"/>
      </w:rPr>
      <w:t>6</w:t>
    </w:r>
    <w:r w:rsidR="00965AAC" w:rsidRPr="00717C79">
      <w:rPr>
        <w:rFonts w:ascii="Century Gothic" w:hAnsi="Century Gothic"/>
        <w:sz w:val="14"/>
      </w:rPr>
      <w:t>-</w:t>
    </w:r>
    <w:r w:rsidR="00EE2302" w:rsidRPr="00717C79">
      <w:rPr>
        <w:rFonts w:ascii="Century Gothic" w:hAnsi="Century Gothic"/>
        <w:sz w:val="14"/>
      </w:rPr>
      <w:t>D</w:t>
    </w:r>
    <w:r w:rsidR="00965AAC" w:rsidRPr="00717C79">
      <w:rPr>
        <w:rFonts w:ascii="Century Gothic" w:hAnsi="Century Gothic"/>
        <w:sz w:val="14"/>
      </w:rPr>
      <w:t>_D</w:t>
    </w:r>
    <w:r w:rsidRPr="00717C79">
      <w:rPr>
        <w:rFonts w:ascii="Century Gothic" w:hAnsi="Century Gothic"/>
        <w:sz w:val="14"/>
      </w:rPr>
      <w:t>2</w:t>
    </w:r>
    <w:r w:rsidR="00965AAC" w:rsidRPr="00717C79">
      <w:rPr>
        <w:rFonts w:ascii="Century Gothic" w:hAnsi="Century Gothic"/>
        <w:sz w:val="14"/>
      </w:rPr>
      <w:t>_Geheimhaltungsvereinbarung_de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7A052" w14:textId="77777777" w:rsidR="00F35CD9" w:rsidRDefault="00F35CD9" w:rsidP="0088358F">
      <w:pPr>
        <w:spacing w:after="0" w:line="240" w:lineRule="auto"/>
      </w:pPr>
      <w:r>
        <w:separator/>
      </w:r>
    </w:p>
  </w:footnote>
  <w:footnote w:type="continuationSeparator" w:id="0">
    <w:p w14:paraId="619A09FE" w14:textId="77777777" w:rsidR="00F35CD9" w:rsidRDefault="00F35CD9" w:rsidP="008835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CBCFB" w14:textId="77777777" w:rsidR="00345742" w:rsidRDefault="0042063B" w:rsidP="00530DDD">
    <w:pPr>
      <w:pStyle w:val="Kopfzeile"/>
      <w:jc w:val="right"/>
    </w:pPr>
    <w:r>
      <w:rPr>
        <w:noProof/>
        <w:lang w:eastAsia="de-DE"/>
      </w:rPr>
      <w:drawing>
        <wp:anchor distT="0" distB="0" distL="114300" distR="114300" simplePos="0" relativeHeight="251657216" behindDoc="0" locked="0" layoutInCell="1" allowOverlap="1" wp14:anchorId="12FCBD05" wp14:editId="12FCBD06">
          <wp:simplePos x="0" y="0"/>
          <wp:positionH relativeFrom="column">
            <wp:posOffset>4615180</wp:posOffset>
          </wp:positionH>
          <wp:positionV relativeFrom="paragraph">
            <wp:posOffset>-210820</wp:posOffset>
          </wp:positionV>
          <wp:extent cx="1153160" cy="596265"/>
          <wp:effectExtent l="0" t="0" r="8890" b="0"/>
          <wp:wrapNone/>
          <wp:docPr id="7" name="Bild 7" descr="NBHX_TRIM_GROUP_logo_entwurf_ohne_ellip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BHX_TRIM_GROUP_logo_entwurf_ohne_ellip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160" cy="596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FCBCFC" w14:textId="77777777" w:rsidR="00345742" w:rsidRDefault="00345742" w:rsidP="00530DDD">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CBD02" w14:textId="77777777" w:rsidR="00345742" w:rsidRPr="00822EFA" w:rsidRDefault="00345742" w:rsidP="002D396E">
    <w:pPr>
      <w:pStyle w:val="Kopfzeile"/>
      <w:jc w:val="center"/>
      <w:rPr>
        <w:rFonts w:ascii="Century Gothic" w:hAnsi="Century Gothic"/>
        <w:sz w:val="2"/>
      </w:rPr>
    </w:pPr>
  </w:p>
  <w:p w14:paraId="12FCBD03" w14:textId="77777777" w:rsidR="00345742" w:rsidRPr="002D396E" w:rsidRDefault="00345742" w:rsidP="002D396E">
    <w:pPr>
      <w:pStyle w:val="Kopfzeile"/>
      <w:jc w:val="center"/>
      <w:rPr>
        <w:rFonts w:ascii="Century Gothic" w:hAnsi="Century Gothic"/>
      </w:rPr>
    </w:pPr>
    <w:r w:rsidRPr="002D396E">
      <w:rPr>
        <w:rFonts w:ascii="Century Gothic" w:hAnsi="Century Gothic"/>
      </w:rPr>
      <w:t>Auto</w:t>
    </w:r>
    <w:r>
      <w:rPr>
        <w:rFonts w:ascii="Century Gothic" w:hAnsi="Century Gothic"/>
      </w:rPr>
      <w:t>motive Design Concepts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24A9F"/>
    <w:multiLevelType w:val="hybridMultilevel"/>
    <w:tmpl w:val="822EB3A0"/>
    <w:lvl w:ilvl="0" w:tplc="2A36B64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B2F3684"/>
    <w:multiLevelType w:val="hybridMultilevel"/>
    <w:tmpl w:val="422E64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1035F7"/>
    <w:multiLevelType w:val="hybridMultilevel"/>
    <w:tmpl w:val="F4786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211C1D"/>
    <w:multiLevelType w:val="hybridMultilevel"/>
    <w:tmpl w:val="D84ED95C"/>
    <w:lvl w:ilvl="0" w:tplc="B6820D6A">
      <w:start w:val="1"/>
      <w:numFmt w:val="lowerLetter"/>
      <w:lvlText w:val="%1)"/>
      <w:lvlJc w:val="left"/>
      <w:pPr>
        <w:ind w:left="537" w:hanging="360"/>
      </w:pPr>
      <w:rPr>
        <w:rFonts w:hint="default"/>
      </w:rPr>
    </w:lvl>
    <w:lvl w:ilvl="1" w:tplc="04090019" w:tentative="1">
      <w:start w:val="1"/>
      <w:numFmt w:val="lowerLetter"/>
      <w:lvlText w:val="%2."/>
      <w:lvlJc w:val="left"/>
      <w:pPr>
        <w:ind w:left="1257" w:hanging="360"/>
      </w:pPr>
    </w:lvl>
    <w:lvl w:ilvl="2" w:tplc="0409001B" w:tentative="1">
      <w:start w:val="1"/>
      <w:numFmt w:val="lowerRoman"/>
      <w:lvlText w:val="%3."/>
      <w:lvlJc w:val="right"/>
      <w:pPr>
        <w:ind w:left="1977" w:hanging="180"/>
      </w:pPr>
    </w:lvl>
    <w:lvl w:ilvl="3" w:tplc="0409000F" w:tentative="1">
      <w:start w:val="1"/>
      <w:numFmt w:val="decimal"/>
      <w:lvlText w:val="%4."/>
      <w:lvlJc w:val="left"/>
      <w:pPr>
        <w:ind w:left="2697" w:hanging="360"/>
      </w:pPr>
    </w:lvl>
    <w:lvl w:ilvl="4" w:tplc="04090019" w:tentative="1">
      <w:start w:val="1"/>
      <w:numFmt w:val="lowerLetter"/>
      <w:lvlText w:val="%5."/>
      <w:lvlJc w:val="left"/>
      <w:pPr>
        <w:ind w:left="3417" w:hanging="360"/>
      </w:pPr>
    </w:lvl>
    <w:lvl w:ilvl="5" w:tplc="0409001B" w:tentative="1">
      <w:start w:val="1"/>
      <w:numFmt w:val="lowerRoman"/>
      <w:lvlText w:val="%6."/>
      <w:lvlJc w:val="right"/>
      <w:pPr>
        <w:ind w:left="4137" w:hanging="180"/>
      </w:pPr>
    </w:lvl>
    <w:lvl w:ilvl="6" w:tplc="0409000F" w:tentative="1">
      <w:start w:val="1"/>
      <w:numFmt w:val="decimal"/>
      <w:lvlText w:val="%7."/>
      <w:lvlJc w:val="left"/>
      <w:pPr>
        <w:ind w:left="4857" w:hanging="360"/>
      </w:pPr>
    </w:lvl>
    <w:lvl w:ilvl="7" w:tplc="04090019" w:tentative="1">
      <w:start w:val="1"/>
      <w:numFmt w:val="lowerLetter"/>
      <w:lvlText w:val="%8."/>
      <w:lvlJc w:val="left"/>
      <w:pPr>
        <w:ind w:left="5577" w:hanging="360"/>
      </w:pPr>
    </w:lvl>
    <w:lvl w:ilvl="8" w:tplc="0409001B" w:tentative="1">
      <w:start w:val="1"/>
      <w:numFmt w:val="lowerRoman"/>
      <w:lvlText w:val="%9."/>
      <w:lvlJc w:val="right"/>
      <w:pPr>
        <w:ind w:left="6297" w:hanging="180"/>
      </w:pPr>
    </w:lvl>
  </w:abstractNum>
  <w:abstractNum w:abstractNumId="4" w15:restartNumberingAfterBreak="0">
    <w:nsid w:val="20C434BD"/>
    <w:multiLevelType w:val="hybridMultilevel"/>
    <w:tmpl w:val="D764D69E"/>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22B365A3"/>
    <w:multiLevelType w:val="hybridMultilevel"/>
    <w:tmpl w:val="E3E6B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8DB5F36"/>
    <w:multiLevelType w:val="hybridMultilevel"/>
    <w:tmpl w:val="D6B806FE"/>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7" w15:restartNumberingAfterBreak="0">
    <w:nsid w:val="3C1F30CF"/>
    <w:multiLevelType w:val="hybridMultilevel"/>
    <w:tmpl w:val="4B2894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F915F28"/>
    <w:multiLevelType w:val="hybridMultilevel"/>
    <w:tmpl w:val="158ABFC0"/>
    <w:lvl w:ilvl="0" w:tplc="D6285AEA">
      <w:start w:val="1"/>
      <w:numFmt w:val="lowerLetter"/>
      <w:lvlText w:val="%1)"/>
      <w:lvlJc w:val="left"/>
      <w:pPr>
        <w:ind w:left="537" w:hanging="360"/>
      </w:pPr>
      <w:rPr>
        <w:rFonts w:hint="default"/>
      </w:rPr>
    </w:lvl>
    <w:lvl w:ilvl="1" w:tplc="04090019" w:tentative="1">
      <w:start w:val="1"/>
      <w:numFmt w:val="lowerLetter"/>
      <w:lvlText w:val="%2."/>
      <w:lvlJc w:val="left"/>
      <w:pPr>
        <w:ind w:left="1257" w:hanging="360"/>
      </w:pPr>
    </w:lvl>
    <w:lvl w:ilvl="2" w:tplc="0409001B" w:tentative="1">
      <w:start w:val="1"/>
      <w:numFmt w:val="lowerRoman"/>
      <w:lvlText w:val="%3."/>
      <w:lvlJc w:val="right"/>
      <w:pPr>
        <w:ind w:left="1977" w:hanging="180"/>
      </w:pPr>
    </w:lvl>
    <w:lvl w:ilvl="3" w:tplc="0409000F" w:tentative="1">
      <w:start w:val="1"/>
      <w:numFmt w:val="decimal"/>
      <w:lvlText w:val="%4."/>
      <w:lvlJc w:val="left"/>
      <w:pPr>
        <w:ind w:left="2697" w:hanging="360"/>
      </w:pPr>
    </w:lvl>
    <w:lvl w:ilvl="4" w:tplc="04090019" w:tentative="1">
      <w:start w:val="1"/>
      <w:numFmt w:val="lowerLetter"/>
      <w:lvlText w:val="%5."/>
      <w:lvlJc w:val="left"/>
      <w:pPr>
        <w:ind w:left="3417" w:hanging="360"/>
      </w:pPr>
    </w:lvl>
    <w:lvl w:ilvl="5" w:tplc="0409001B" w:tentative="1">
      <w:start w:val="1"/>
      <w:numFmt w:val="lowerRoman"/>
      <w:lvlText w:val="%6."/>
      <w:lvlJc w:val="right"/>
      <w:pPr>
        <w:ind w:left="4137" w:hanging="180"/>
      </w:pPr>
    </w:lvl>
    <w:lvl w:ilvl="6" w:tplc="0409000F" w:tentative="1">
      <w:start w:val="1"/>
      <w:numFmt w:val="decimal"/>
      <w:lvlText w:val="%7."/>
      <w:lvlJc w:val="left"/>
      <w:pPr>
        <w:ind w:left="4857" w:hanging="360"/>
      </w:pPr>
    </w:lvl>
    <w:lvl w:ilvl="7" w:tplc="04090019" w:tentative="1">
      <w:start w:val="1"/>
      <w:numFmt w:val="lowerLetter"/>
      <w:lvlText w:val="%8."/>
      <w:lvlJc w:val="left"/>
      <w:pPr>
        <w:ind w:left="5577" w:hanging="360"/>
      </w:pPr>
    </w:lvl>
    <w:lvl w:ilvl="8" w:tplc="0409001B" w:tentative="1">
      <w:start w:val="1"/>
      <w:numFmt w:val="lowerRoman"/>
      <w:lvlText w:val="%9."/>
      <w:lvlJc w:val="right"/>
      <w:pPr>
        <w:ind w:left="6297" w:hanging="180"/>
      </w:pPr>
    </w:lvl>
  </w:abstractNum>
  <w:abstractNum w:abstractNumId="9" w15:restartNumberingAfterBreak="0">
    <w:nsid w:val="40E01C7D"/>
    <w:multiLevelType w:val="hybridMultilevel"/>
    <w:tmpl w:val="17BAC4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3666AB1"/>
    <w:multiLevelType w:val="hybridMultilevel"/>
    <w:tmpl w:val="B41C2876"/>
    <w:lvl w:ilvl="0" w:tplc="0407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116521"/>
    <w:multiLevelType w:val="hybridMultilevel"/>
    <w:tmpl w:val="048E330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D7B2C39"/>
    <w:multiLevelType w:val="hybridMultilevel"/>
    <w:tmpl w:val="A37AF1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56010F1"/>
    <w:multiLevelType w:val="hybridMultilevel"/>
    <w:tmpl w:val="992EE5C8"/>
    <w:lvl w:ilvl="0" w:tplc="E6AC0210">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4" w15:restartNumberingAfterBreak="0">
    <w:nsid w:val="5B9D5D10"/>
    <w:multiLevelType w:val="hybridMultilevel"/>
    <w:tmpl w:val="0280576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C847E06"/>
    <w:multiLevelType w:val="hybridMultilevel"/>
    <w:tmpl w:val="082858D0"/>
    <w:lvl w:ilvl="0" w:tplc="0407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901BED"/>
    <w:multiLevelType w:val="multilevel"/>
    <w:tmpl w:val="5F7EECB8"/>
    <w:lvl w:ilvl="0">
      <w:start w:val="1"/>
      <w:numFmt w:val="decimal"/>
      <w:pStyle w:val="berschrift1"/>
      <w:lvlText w:val="%1."/>
      <w:lvlJc w:val="left"/>
      <w:pPr>
        <w:tabs>
          <w:tab w:val="num" w:pos="680"/>
        </w:tabs>
        <w:ind w:left="0" w:firstLine="0"/>
      </w:pPr>
      <w:rPr>
        <w:rFonts w:hint="default"/>
      </w:rPr>
    </w:lvl>
    <w:lvl w:ilvl="1">
      <w:start w:val="1"/>
      <w:numFmt w:val="decimal"/>
      <w:pStyle w:val="berschrift2"/>
      <w:lvlText w:val="%1.%2."/>
      <w:lvlJc w:val="left"/>
      <w:pPr>
        <w:tabs>
          <w:tab w:val="num" w:pos="680"/>
        </w:tabs>
        <w:ind w:left="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tabs>
          <w:tab w:val="num" w:pos="680"/>
        </w:tabs>
        <w:ind w:left="0" w:firstLine="0"/>
      </w:pPr>
      <w:rPr>
        <w:rFonts w:hint="default"/>
      </w:rPr>
    </w:lvl>
    <w:lvl w:ilvl="3">
      <w:start w:val="1"/>
      <w:numFmt w:val="lowerLetter"/>
      <w:pStyle w:val="berschrift4"/>
      <w:lvlText w:val="%1.%2.%3.%4)"/>
      <w:lvlJc w:val="left"/>
      <w:pPr>
        <w:tabs>
          <w:tab w:val="num" w:pos="851"/>
        </w:tabs>
        <w:ind w:left="0" w:firstLine="0"/>
      </w:pPr>
      <w:rPr>
        <w:rFonts w:hint="default"/>
      </w:rPr>
    </w:lvl>
    <w:lvl w:ilvl="4">
      <w:start w:val="7"/>
      <w:numFmt w:val="decimal"/>
      <w:lvlText w:val="(%5)"/>
      <w:lvlJc w:val="left"/>
      <w:pPr>
        <w:tabs>
          <w:tab w:val="num" w:pos="0"/>
        </w:tabs>
        <w:ind w:left="0" w:firstLine="0"/>
      </w:pPr>
      <w:rPr>
        <w:rFonts w:hint="default"/>
      </w:rPr>
    </w:lvl>
    <w:lvl w:ilvl="5">
      <w:start w:val="1"/>
      <w:numFmt w:val="lowerLetter"/>
      <w:pStyle w:val="berschrift6"/>
      <w:lvlText w:val="(%6)"/>
      <w:lvlJc w:val="left"/>
      <w:pPr>
        <w:tabs>
          <w:tab w:val="num" w:pos="3960"/>
        </w:tabs>
        <w:ind w:left="3600" w:firstLine="0"/>
      </w:pPr>
      <w:rPr>
        <w:rFonts w:hint="default"/>
      </w:rPr>
    </w:lvl>
    <w:lvl w:ilvl="6">
      <w:start w:val="1"/>
      <w:numFmt w:val="lowerRoman"/>
      <w:pStyle w:val="berschrift7"/>
      <w:lvlText w:val="(%7)"/>
      <w:lvlJc w:val="left"/>
      <w:pPr>
        <w:tabs>
          <w:tab w:val="num" w:pos="4680"/>
        </w:tabs>
        <w:ind w:left="4320" w:firstLine="0"/>
      </w:pPr>
      <w:rPr>
        <w:rFonts w:hint="default"/>
      </w:rPr>
    </w:lvl>
    <w:lvl w:ilvl="7">
      <w:start w:val="1"/>
      <w:numFmt w:val="lowerLetter"/>
      <w:pStyle w:val="berschrift8"/>
      <w:lvlText w:val="(%8)"/>
      <w:lvlJc w:val="left"/>
      <w:pPr>
        <w:tabs>
          <w:tab w:val="num" w:pos="5400"/>
        </w:tabs>
        <w:ind w:left="5040" w:firstLine="0"/>
      </w:pPr>
      <w:rPr>
        <w:rFonts w:hint="default"/>
      </w:rPr>
    </w:lvl>
    <w:lvl w:ilvl="8">
      <w:start w:val="1"/>
      <w:numFmt w:val="lowerRoman"/>
      <w:pStyle w:val="berschrift9"/>
      <w:lvlText w:val="(%9)"/>
      <w:lvlJc w:val="left"/>
      <w:pPr>
        <w:tabs>
          <w:tab w:val="num" w:pos="6120"/>
        </w:tabs>
        <w:ind w:left="5760" w:firstLine="0"/>
      </w:pPr>
      <w:rPr>
        <w:rFonts w:hint="default"/>
      </w:rPr>
    </w:lvl>
  </w:abstractNum>
  <w:abstractNum w:abstractNumId="17" w15:restartNumberingAfterBreak="0">
    <w:nsid w:val="6C7A4F05"/>
    <w:multiLevelType w:val="hybridMultilevel"/>
    <w:tmpl w:val="6B147ECC"/>
    <w:lvl w:ilvl="0" w:tplc="0407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A0075D"/>
    <w:multiLevelType w:val="hybridMultilevel"/>
    <w:tmpl w:val="BA00275E"/>
    <w:lvl w:ilvl="0" w:tplc="D1646CC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6F265CC5"/>
    <w:multiLevelType w:val="hybridMultilevel"/>
    <w:tmpl w:val="8760EDF6"/>
    <w:lvl w:ilvl="0" w:tplc="04070005">
      <w:start w:val="1"/>
      <w:numFmt w:val="bullet"/>
      <w:lvlText w:val=""/>
      <w:lvlJc w:val="left"/>
      <w:pPr>
        <w:ind w:left="780" w:hanging="360"/>
      </w:pPr>
      <w:rPr>
        <w:rFonts w:ascii="Wingdings" w:hAnsi="Wingdings"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0" w15:restartNumberingAfterBreak="0">
    <w:nsid w:val="72241D7F"/>
    <w:multiLevelType w:val="hybridMultilevel"/>
    <w:tmpl w:val="2DDCC1B0"/>
    <w:lvl w:ilvl="0" w:tplc="1FB25924">
      <w:start w:val="1"/>
      <w:numFmt w:val="decimal"/>
      <w:lvlText w:val="%1."/>
      <w:lvlJc w:val="left"/>
      <w:pPr>
        <w:ind w:left="360" w:hanging="360"/>
      </w:pPr>
      <w:rPr>
        <w:rFonts w:hint="default"/>
        <w:b/>
        <w:sz w:val="20"/>
        <w:szCs w:val="20"/>
      </w:rPr>
    </w:lvl>
    <w:lvl w:ilvl="1" w:tplc="04070019" w:tentative="1">
      <w:start w:val="1"/>
      <w:numFmt w:val="lowerLetter"/>
      <w:lvlText w:val="%2."/>
      <w:lvlJc w:val="left"/>
      <w:pPr>
        <w:ind w:left="1260" w:hanging="360"/>
      </w:pPr>
    </w:lvl>
    <w:lvl w:ilvl="2" w:tplc="0407001B" w:tentative="1">
      <w:start w:val="1"/>
      <w:numFmt w:val="lowerRoman"/>
      <w:lvlText w:val="%3."/>
      <w:lvlJc w:val="right"/>
      <w:pPr>
        <w:ind w:left="1980" w:hanging="180"/>
      </w:pPr>
    </w:lvl>
    <w:lvl w:ilvl="3" w:tplc="0407000F" w:tentative="1">
      <w:start w:val="1"/>
      <w:numFmt w:val="decimal"/>
      <w:lvlText w:val="%4."/>
      <w:lvlJc w:val="left"/>
      <w:pPr>
        <w:ind w:left="2700" w:hanging="360"/>
      </w:pPr>
    </w:lvl>
    <w:lvl w:ilvl="4" w:tplc="04070019" w:tentative="1">
      <w:start w:val="1"/>
      <w:numFmt w:val="lowerLetter"/>
      <w:lvlText w:val="%5."/>
      <w:lvlJc w:val="left"/>
      <w:pPr>
        <w:ind w:left="3420" w:hanging="360"/>
      </w:pPr>
    </w:lvl>
    <w:lvl w:ilvl="5" w:tplc="0407001B" w:tentative="1">
      <w:start w:val="1"/>
      <w:numFmt w:val="lowerRoman"/>
      <w:lvlText w:val="%6."/>
      <w:lvlJc w:val="right"/>
      <w:pPr>
        <w:ind w:left="4140" w:hanging="180"/>
      </w:pPr>
    </w:lvl>
    <w:lvl w:ilvl="6" w:tplc="0407000F" w:tentative="1">
      <w:start w:val="1"/>
      <w:numFmt w:val="decimal"/>
      <w:lvlText w:val="%7."/>
      <w:lvlJc w:val="left"/>
      <w:pPr>
        <w:ind w:left="4860" w:hanging="360"/>
      </w:pPr>
    </w:lvl>
    <w:lvl w:ilvl="7" w:tplc="04070019" w:tentative="1">
      <w:start w:val="1"/>
      <w:numFmt w:val="lowerLetter"/>
      <w:lvlText w:val="%8."/>
      <w:lvlJc w:val="left"/>
      <w:pPr>
        <w:ind w:left="5580" w:hanging="360"/>
      </w:pPr>
    </w:lvl>
    <w:lvl w:ilvl="8" w:tplc="0407001B" w:tentative="1">
      <w:start w:val="1"/>
      <w:numFmt w:val="lowerRoman"/>
      <w:lvlText w:val="%9."/>
      <w:lvlJc w:val="right"/>
      <w:pPr>
        <w:ind w:left="6300" w:hanging="180"/>
      </w:pPr>
    </w:lvl>
  </w:abstractNum>
  <w:abstractNum w:abstractNumId="21" w15:restartNumberingAfterBreak="0">
    <w:nsid w:val="741C2AAE"/>
    <w:multiLevelType w:val="hybridMultilevel"/>
    <w:tmpl w:val="87B228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9674603">
    <w:abstractNumId w:val="16"/>
  </w:num>
  <w:num w:numId="2" w16cid:durableId="762648136">
    <w:abstractNumId w:val="7"/>
  </w:num>
  <w:num w:numId="3" w16cid:durableId="640571964">
    <w:abstractNumId w:val="5"/>
  </w:num>
  <w:num w:numId="4" w16cid:durableId="800803285">
    <w:abstractNumId w:val="1"/>
  </w:num>
  <w:num w:numId="5" w16cid:durableId="931819245">
    <w:abstractNumId w:val="12"/>
  </w:num>
  <w:num w:numId="6" w16cid:durableId="1520510722">
    <w:abstractNumId w:val="6"/>
  </w:num>
  <w:num w:numId="7" w16cid:durableId="1496649591">
    <w:abstractNumId w:val="9"/>
  </w:num>
  <w:num w:numId="8" w16cid:durableId="1335261254">
    <w:abstractNumId w:val="11"/>
  </w:num>
  <w:num w:numId="9" w16cid:durableId="320087482">
    <w:abstractNumId w:val="19"/>
  </w:num>
  <w:num w:numId="10" w16cid:durableId="1889148901">
    <w:abstractNumId w:val="2"/>
  </w:num>
  <w:num w:numId="11" w16cid:durableId="939528668">
    <w:abstractNumId w:val="14"/>
  </w:num>
  <w:num w:numId="12" w16cid:durableId="126516092">
    <w:abstractNumId w:val="20"/>
  </w:num>
  <w:num w:numId="13" w16cid:durableId="1120799583">
    <w:abstractNumId w:val="8"/>
  </w:num>
  <w:num w:numId="14" w16cid:durableId="1510027659">
    <w:abstractNumId w:val="0"/>
  </w:num>
  <w:num w:numId="15" w16cid:durableId="1282764149">
    <w:abstractNumId w:val="3"/>
  </w:num>
  <w:num w:numId="16" w16cid:durableId="1594504">
    <w:abstractNumId w:val="18"/>
  </w:num>
  <w:num w:numId="17" w16cid:durableId="893463173">
    <w:abstractNumId w:val="13"/>
  </w:num>
  <w:num w:numId="18" w16cid:durableId="1387531375">
    <w:abstractNumId w:val="21"/>
  </w:num>
  <w:num w:numId="19" w16cid:durableId="1930917802">
    <w:abstractNumId w:val="10"/>
  </w:num>
  <w:num w:numId="20" w16cid:durableId="862673596">
    <w:abstractNumId w:val="15"/>
  </w:num>
  <w:num w:numId="21" w16cid:durableId="1672104505">
    <w:abstractNumId w:val="17"/>
  </w:num>
  <w:num w:numId="22" w16cid:durableId="350803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revisionView w:markup="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DDD"/>
    <w:rsid w:val="00000888"/>
    <w:rsid w:val="00012563"/>
    <w:rsid w:val="00015C0A"/>
    <w:rsid w:val="00017530"/>
    <w:rsid w:val="00023095"/>
    <w:rsid w:val="00024CDD"/>
    <w:rsid w:val="00037969"/>
    <w:rsid w:val="00052759"/>
    <w:rsid w:val="00063B96"/>
    <w:rsid w:val="00063C93"/>
    <w:rsid w:val="00073ADD"/>
    <w:rsid w:val="000910EC"/>
    <w:rsid w:val="000D636E"/>
    <w:rsid w:val="00114BCA"/>
    <w:rsid w:val="00162F40"/>
    <w:rsid w:val="001877B3"/>
    <w:rsid w:val="001A69CB"/>
    <w:rsid w:val="00202E9B"/>
    <w:rsid w:val="00224CE7"/>
    <w:rsid w:val="00292306"/>
    <w:rsid w:val="002B13E7"/>
    <w:rsid w:val="002C056B"/>
    <w:rsid w:val="002D2947"/>
    <w:rsid w:val="002D35F0"/>
    <w:rsid w:val="002D396E"/>
    <w:rsid w:val="0031205F"/>
    <w:rsid w:val="00315B73"/>
    <w:rsid w:val="00345742"/>
    <w:rsid w:val="00363EF4"/>
    <w:rsid w:val="00374B2B"/>
    <w:rsid w:val="00376047"/>
    <w:rsid w:val="003877A0"/>
    <w:rsid w:val="00391097"/>
    <w:rsid w:val="0039119A"/>
    <w:rsid w:val="003A0529"/>
    <w:rsid w:val="003D2FC7"/>
    <w:rsid w:val="003F5C38"/>
    <w:rsid w:val="00403C36"/>
    <w:rsid w:val="00410889"/>
    <w:rsid w:val="0042063B"/>
    <w:rsid w:val="004573F7"/>
    <w:rsid w:val="00474530"/>
    <w:rsid w:val="00490814"/>
    <w:rsid w:val="004C5CAF"/>
    <w:rsid w:val="004F2687"/>
    <w:rsid w:val="00530DDD"/>
    <w:rsid w:val="00546AE7"/>
    <w:rsid w:val="005746ED"/>
    <w:rsid w:val="00576EFD"/>
    <w:rsid w:val="005825D3"/>
    <w:rsid w:val="0059541B"/>
    <w:rsid w:val="005A7E78"/>
    <w:rsid w:val="005C7CF5"/>
    <w:rsid w:val="005F19D2"/>
    <w:rsid w:val="00624FFC"/>
    <w:rsid w:val="006C1E29"/>
    <w:rsid w:val="006E140B"/>
    <w:rsid w:val="007070E3"/>
    <w:rsid w:val="00717C79"/>
    <w:rsid w:val="00724686"/>
    <w:rsid w:val="00731165"/>
    <w:rsid w:val="0074275F"/>
    <w:rsid w:val="00782A14"/>
    <w:rsid w:val="007A759B"/>
    <w:rsid w:val="007B0FA4"/>
    <w:rsid w:val="007C6669"/>
    <w:rsid w:val="007D21B8"/>
    <w:rsid w:val="007D44D4"/>
    <w:rsid w:val="007E6310"/>
    <w:rsid w:val="00822EFA"/>
    <w:rsid w:val="0082498C"/>
    <w:rsid w:val="0084491C"/>
    <w:rsid w:val="008542D6"/>
    <w:rsid w:val="00877238"/>
    <w:rsid w:val="0088358F"/>
    <w:rsid w:val="008B0CD9"/>
    <w:rsid w:val="008C705E"/>
    <w:rsid w:val="008E002A"/>
    <w:rsid w:val="008F1368"/>
    <w:rsid w:val="00904043"/>
    <w:rsid w:val="00965AAC"/>
    <w:rsid w:val="0097365C"/>
    <w:rsid w:val="00996C5F"/>
    <w:rsid w:val="009B77D8"/>
    <w:rsid w:val="009D40A7"/>
    <w:rsid w:val="009F4509"/>
    <w:rsid w:val="009F5E6C"/>
    <w:rsid w:val="00A17FEC"/>
    <w:rsid w:val="00A219FD"/>
    <w:rsid w:val="00A27163"/>
    <w:rsid w:val="00A41134"/>
    <w:rsid w:val="00A5373F"/>
    <w:rsid w:val="00A6264A"/>
    <w:rsid w:val="00AB66A6"/>
    <w:rsid w:val="00AC3CB7"/>
    <w:rsid w:val="00AE4B26"/>
    <w:rsid w:val="00B038D2"/>
    <w:rsid w:val="00B05C5C"/>
    <w:rsid w:val="00B75E2F"/>
    <w:rsid w:val="00B862B8"/>
    <w:rsid w:val="00B915F9"/>
    <w:rsid w:val="00B96D64"/>
    <w:rsid w:val="00BA7DE8"/>
    <w:rsid w:val="00BC3B2B"/>
    <w:rsid w:val="00BD657D"/>
    <w:rsid w:val="00C137F9"/>
    <w:rsid w:val="00C14A41"/>
    <w:rsid w:val="00C25775"/>
    <w:rsid w:val="00C30DB1"/>
    <w:rsid w:val="00C32168"/>
    <w:rsid w:val="00C45EF7"/>
    <w:rsid w:val="00C47865"/>
    <w:rsid w:val="00C64CCD"/>
    <w:rsid w:val="00C665DB"/>
    <w:rsid w:val="00C9120B"/>
    <w:rsid w:val="00CA2314"/>
    <w:rsid w:val="00CB679E"/>
    <w:rsid w:val="00CB7A14"/>
    <w:rsid w:val="00CE0F7B"/>
    <w:rsid w:val="00CE4B6D"/>
    <w:rsid w:val="00CF4E07"/>
    <w:rsid w:val="00CF73EC"/>
    <w:rsid w:val="00D2146C"/>
    <w:rsid w:val="00D56DA3"/>
    <w:rsid w:val="00D95FDC"/>
    <w:rsid w:val="00DA1869"/>
    <w:rsid w:val="00DA277D"/>
    <w:rsid w:val="00DA3F15"/>
    <w:rsid w:val="00DA4879"/>
    <w:rsid w:val="00DD53BC"/>
    <w:rsid w:val="00DE4D44"/>
    <w:rsid w:val="00DF0FDA"/>
    <w:rsid w:val="00E524E9"/>
    <w:rsid w:val="00E64C4E"/>
    <w:rsid w:val="00E7772B"/>
    <w:rsid w:val="00E86A1D"/>
    <w:rsid w:val="00E93918"/>
    <w:rsid w:val="00EA6EE0"/>
    <w:rsid w:val="00EC1636"/>
    <w:rsid w:val="00EC512B"/>
    <w:rsid w:val="00EE2302"/>
    <w:rsid w:val="00F07D91"/>
    <w:rsid w:val="00F306C0"/>
    <w:rsid w:val="00F35CD9"/>
    <w:rsid w:val="00F71EEC"/>
    <w:rsid w:val="00F872BA"/>
    <w:rsid w:val="00F93BBE"/>
    <w:rsid w:val="00F94E5A"/>
    <w:rsid w:val="00FF1615"/>
    <w:rsid w:val="00FF715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CBC6A"/>
  <w15:chartTrackingRefBased/>
  <w15:docId w15:val="{F3B555FB-470B-4BD3-8342-15A657FFA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9119A"/>
    <w:pPr>
      <w:spacing w:after="160" w:line="259" w:lineRule="auto"/>
    </w:pPr>
    <w:rPr>
      <w:rFonts w:ascii="Calibri Light" w:hAnsi="Calibri Light"/>
      <w:sz w:val="22"/>
      <w:szCs w:val="22"/>
      <w:lang w:eastAsia="en-US"/>
    </w:rPr>
  </w:style>
  <w:style w:type="paragraph" w:styleId="berschrift1">
    <w:name w:val="heading 1"/>
    <w:aliases w:val="Kurstitel"/>
    <w:basedOn w:val="Standard"/>
    <w:next w:val="Standard"/>
    <w:link w:val="berschrift1Zchn"/>
    <w:uiPriority w:val="9"/>
    <w:qFormat/>
    <w:rsid w:val="0039119A"/>
    <w:pPr>
      <w:keepNext/>
      <w:keepLines/>
      <w:numPr>
        <w:numId w:val="1"/>
      </w:numPr>
      <w:pBdr>
        <w:bottom w:val="dotted" w:sz="4" w:space="10" w:color="auto"/>
      </w:pBdr>
      <w:tabs>
        <w:tab w:val="clear" w:pos="680"/>
        <w:tab w:val="num" w:pos="1134"/>
        <w:tab w:val="right" w:pos="9498"/>
      </w:tabs>
      <w:spacing w:before="600" w:after="400" w:line="280" w:lineRule="exact"/>
      <w:ind w:left="1134" w:hanging="1134"/>
      <w:contextualSpacing/>
      <w:outlineLvl w:val="0"/>
    </w:pPr>
    <w:rPr>
      <w:rFonts w:eastAsia="Times New Roman"/>
      <w:b/>
      <w:bCs/>
      <w:sz w:val="28"/>
      <w:szCs w:val="28"/>
    </w:rPr>
  </w:style>
  <w:style w:type="paragraph" w:styleId="berschrift2">
    <w:name w:val="heading 2"/>
    <w:aliases w:val="Kursinhalt"/>
    <w:basedOn w:val="Standard"/>
    <w:next w:val="Standard"/>
    <w:link w:val="berschrift2Zchn"/>
    <w:uiPriority w:val="9"/>
    <w:qFormat/>
    <w:rsid w:val="00015C0A"/>
    <w:pPr>
      <w:keepNext/>
      <w:keepLines/>
      <w:numPr>
        <w:ilvl w:val="1"/>
        <w:numId w:val="1"/>
      </w:numPr>
      <w:tabs>
        <w:tab w:val="clear" w:pos="680"/>
        <w:tab w:val="num" w:pos="1134"/>
        <w:tab w:val="right" w:pos="9498"/>
      </w:tabs>
      <w:spacing w:before="240" w:after="240" w:line="280" w:lineRule="exact"/>
      <w:ind w:left="1134" w:hanging="1134"/>
      <w:contextualSpacing/>
      <w:outlineLvl w:val="1"/>
    </w:pPr>
    <w:rPr>
      <w:rFonts w:eastAsia="Times New Roman"/>
      <w:b/>
      <w:bCs/>
      <w:szCs w:val="26"/>
    </w:rPr>
  </w:style>
  <w:style w:type="paragraph" w:styleId="berschrift3">
    <w:name w:val="heading 3"/>
    <w:basedOn w:val="Standard"/>
    <w:next w:val="Standard"/>
    <w:link w:val="berschrift3Zchn"/>
    <w:uiPriority w:val="9"/>
    <w:qFormat/>
    <w:rsid w:val="00015C0A"/>
    <w:pPr>
      <w:keepNext/>
      <w:keepLines/>
      <w:numPr>
        <w:ilvl w:val="2"/>
        <w:numId w:val="1"/>
      </w:numPr>
      <w:tabs>
        <w:tab w:val="clear" w:pos="680"/>
        <w:tab w:val="num" w:pos="1134"/>
        <w:tab w:val="right" w:pos="9498"/>
      </w:tabs>
      <w:spacing w:before="280" w:after="280" w:line="280" w:lineRule="exact"/>
      <w:ind w:left="1134" w:hanging="1134"/>
      <w:contextualSpacing/>
      <w:outlineLvl w:val="2"/>
    </w:pPr>
    <w:rPr>
      <w:rFonts w:eastAsia="Times New Roman"/>
      <w:b/>
      <w:bCs/>
      <w:sz w:val="20"/>
    </w:rPr>
  </w:style>
  <w:style w:type="paragraph" w:styleId="berschrift4">
    <w:name w:val="heading 4"/>
    <w:basedOn w:val="Standard"/>
    <w:next w:val="Standard"/>
    <w:link w:val="berschrift4Zchn"/>
    <w:unhideWhenUsed/>
    <w:qFormat/>
    <w:rsid w:val="00530DDD"/>
    <w:pPr>
      <w:keepNext/>
      <w:numPr>
        <w:ilvl w:val="3"/>
        <w:numId w:val="1"/>
      </w:numPr>
      <w:tabs>
        <w:tab w:val="clear" w:pos="851"/>
        <w:tab w:val="num" w:pos="1134"/>
        <w:tab w:val="right" w:pos="9498"/>
      </w:tabs>
      <w:spacing w:before="240" w:after="60" w:line="280" w:lineRule="exact"/>
      <w:ind w:left="1134" w:hanging="1134"/>
      <w:contextualSpacing/>
      <w:outlineLvl w:val="3"/>
    </w:pPr>
    <w:rPr>
      <w:rFonts w:ascii="Trebuchet MS" w:eastAsia="Times New Roman" w:hAnsi="Trebuchet MS"/>
      <w:bCs/>
      <w:sz w:val="20"/>
      <w:szCs w:val="20"/>
    </w:rPr>
  </w:style>
  <w:style w:type="paragraph" w:styleId="berschrift6">
    <w:name w:val="heading 6"/>
    <w:basedOn w:val="Standard"/>
    <w:next w:val="Standard"/>
    <w:link w:val="berschrift6Zchn"/>
    <w:semiHidden/>
    <w:unhideWhenUsed/>
    <w:qFormat/>
    <w:rsid w:val="00530DDD"/>
    <w:pPr>
      <w:numPr>
        <w:ilvl w:val="5"/>
        <w:numId w:val="1"/>
      </w:numPr>
      <w:spacing w:before="240" w:after="60" w:line="280" w:lineRule="exact"/>
      <w:contextualSpacing/>
      <w:outlineLvl w:val="5"/>
    </w:pPr>
    <w:rPr>
      <w:rFonts w:ascii="Calibri" w:eastAsia="Times New Roman" w:hAnsi="Calibri"/>
      <w:b/>
      <w:bCs/>
    </w:rPr>
  </w:style>
  <w:style w:type="paragraph" w:styleId="berschrift7">
    <w:name w:val="heading 7"/>
    <w:basedOn w:val="Standard"/>
    <w:next w:val="Standard"/>
    <w:link w:val="berschrift7Zchn"/>
    <w:semiHidden/>
    <w:unhideWhenUsed/>
    <w:qFormat/>
    <w:rsid w:val="00530DDD"/>
    <w:pPr>
      <w:numPr>
        <w:ilvl w:val="6"/>
        <w:numId w:val="1"/>
      </w:numPr>
      <w:spacing w:before="240" w:after="60" w:line="280" w:lineRule="exact"/>
      <w:contextualSpacing/>
      <w:outlineLvl w:val="6"/>
    </w:pPr>
    <w:rPr>
      <w:rFonts w:ascii="Calibri" w:eastAsia="Times New Roman" w:hAnsi="Calibri"/>
      <w:sz w:val="24"/>
      <w:szCs w:val="24"/>
    </w:rPr>
  </w:style>
  <w:style w:type="paragraph" w:styleId="berschrift8">
    <w:name w:val="heading 8"/>
    <w:basedOn w:val="Standard"/>
    <w:next w:val="Standard"/>
    <w:link w:val="berschrift8Zchn"/>
    <w:semiHidden/>
    <w:unhideWhenUsed/>
    <w:qFormat/>
    <w:rsid w:val="00530DDD"/>
    <w:pPr>
      <w:numPr>
        <w:ilvl w:val="7"/>
        <w:numId w:val="1"/>
      </w:numPr>
      <w:spacing w:before="240" w:after="60" w:line="280" w:lineRule="exact"/>
      <w:contextualSpacing/>
      <w:outlineLvl w:val="7"/>
    </w:pPr>
    <w:rPr>
      <w:rFonts w:ascii="Calibri" w:eastAsia="Times New Roman" w:hAnsi="Calibri"/>
      <w:i/>
      <w:iCs/>
      <w:sz w:val="24"/>
      <w:szCs w:val="24"/>
    </w:rPr>
  </w:style>
  <w:style w:type="paragraph" w:styleId="berschrift9">
    <w:name w:val="heading 9"/>
    <w:basedOn w:val="Standard"/>
    <w:next w:val="Standard"/>
    <w:link w:val="berschrift9Zchn"/>
    <w:semiHidden/>
    <w:unhideWhenUsed/>
    <w:qFormat/>
    <w:rsid w:val="00530DDD"/>
    <w:pPr>
      <w:numPr>
        <w:ilvl w:val="8"/>
        <w:numId w:val="1"/>
      </w:numPr>
      <w:spacing w:before="240" w:after="60" w:line="280" w:lineRule="exact"/>
      <w:contextualSpacing/>
      <w:outlineLvl w:val="8"/>
    </w:pPr>
    <w:rPr>
      <w:rFonts w:ascii="Cambria" w:eastAsia="Times New Roman" w:hAnsi="Cambr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8358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358F"/>
  </w:style>
  <w:style w:type="paragraph" w:styleId="Fuzeile">
    <w:name w:val="footer"/>
    <w:basedOn w:val="Standard"/>
    <w:link w:val="FuzeileZchn"/>
    <w:uiPriority w:val="99"/>
    <w:unhideWhenUsed/>
    <w:rsid w:val="0088358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358F"/>
  </w:style>
  <w:style w:type="table" w:styleId="Tabellenraster">
    <w:name w:val="Table Grid"/>
    <w:basedOn w:val="NormaleTabelle"/>
    <w:uiPriority w:val="39"/>
    <w:rsid w:val="00187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39119A"/>
    <w:rPr>
      <w:rFonts w:ascii="Calibri" w:hAnsi="Calibri"/>
      <w:color w:val="808080"/>
    </w:rPr>
  </w:style>
  <w:style w:type="character" w:customStyle="1" w:styleId="berschrift1Zchn">
    <w:name w:val="Überschrift 1 Zchn"/>
    <w:aliases w:val="Kurstitel Zchn"/>
    <w:link w:val="berschrift1"/>
    <w:uiPriority w:val="9"/>
    <w:rsid w:val="0039119A"/>
    <w:rPr>
      <w:rFonts w:ascii="Calibri Light" w:eastAsia="Times New Roman" w:hAnsi="Calibri Light"/>
      <w:b/>
      <w:bCs/>
      <w:sz w:val="28"/>
      <w:szCs w:val="28"/>
      <w:lang w:val="de-DE"/>
    </w:rPr>
  </w:style>
  <w:style w:type="character" w:customStyle="1" w:styleId="berschrift2Zchn">
    <w:name w:val="Überschrift 2 Zchn"/>
    <w:aliases w:val="Kursinhalt Zchn"/>
    <w:link w:val="berschrift2"/>
    <w:uiPriority w:val="9"/>
    <w:rsid w:val="00015C0A"/>
    <w:rPr>
      <w:rFonts w:ascii="Calibri Light" w:eastAsia="Times New Roman" w:hAnsi="Calibri Light"/>
      <w:b/>
      <w:bCs/>
      <w:sz w:val="22"/>
      <w:szCs w:val="26"/>
      <w:lang w:val="de-DE"/>
    </w:rPr>
  </w:style>
  <w:style w:type="character" w:customStyle="1" w:styleId="berschrift3Zchn">
    <w:name w:val="Überschrift 3 Zchn"/>
    <w:link w:val="berschrift3"/>
    <w:uiPriority w:val="9"/>
    <w:rsid w:val="00015C0A"/>
    <w:rPr>
      <w:rFonts w:ascii="Calibri Light" w:eastAsia="Times New Roman" w:hAnsi="Calibri Light"/>
      <w:b/>
      <w:bCs/>
      <w:szCs w:val="22"/>
      <w:lang w:val="de-DE"/>
    </w:rPr>
  </w:style>
  <w:style w:type="character" w:customStyle="1" w:styleId="berschrift4Zchn">
    <w:name w:val="Überschrift 4 Zchn"/>
    <w:link w:val="berschrift4"/>
    <w:rsid w:val="00530DDD"/>
    <w:rPr>
      <w:rFonts w:ascii="Trebuchet MS" w:eastAsia="Times New Roman" w:hAnsi="Trebuchet MS" w:cs="Times New Roman"/>
      <w:bCs/>
      <w:sz w:val="20"/>
      <w:szCs w:val="20"/>
    </w:rPr>
  </w:style>
  <w:style w:type="character" w:customStyle="1" w:styleId="berschrift6Zchn">
    <w:name w:val="Überschrift 6 Zchn"/>
    <w:link w:val="berschrift6"/>
    <w:semiHidden/>
    <w:rsid w:val="00530DDD"/>
    <w:rPr>
      <w:rFonts w:ascii="Calibri" w:eastAsia="Times New Roman" w:hAnsi="Calibri" w:cs="Times New Roman"/>
      <w:b/>
      <w:bCs/>
    </w:rPr>
  </w:style>
  <w:style w:type="character" w:customStyle="1" w:styleId="berschrift7Zchn">
    <w:name w:val="Überschrift 7 Zchn"/>
    <w:link w:val="berschrift7"/>
    <w:semiHidden/>
    <w:rsid w:val="00530DDD"/>
    <w:rPr>
      <w:rFonts w:ascii="Calibri" w:eastAsia="Times New Roman" w:hAnsi="Calibri" w:cs="Times New Roman"/>
      <w:sz w:val="24"/>
      <w:szCs w:val="24"/>
    </w:rPr>
  </w:style>
  <w:style w:type="character" w:customStyle="1" w:styleId="berschrift8Zchn">
    <w:name w:val="Überschrift 8 Zchn"/>
    <w:link w:val="berschrift8"/>
    <w:semiHidden/>
    <w:rsid w:val="00530DDD"/>
    <w:rPr>
      <w:rFonts w:ascii="Calibri" w:eastAsia="Times New Roman" w:hAnsi="Calibri" w:cs="Times New Roman"/>
      <w:i/>
      <w:iCs/>
      <w:sz w:val="24"/>
      <w:szCs w:val="24"/>
    </w:rPr>
  </w:style>
  <w:style w:type="character" w:customStyle="1" w:styleId="berschrift9Zchn">
    <w:name w:val="Überschrift 9 Zchn"/>
    <w:link w:val="berschrift9"/>
    <w:semiHidden/>
    <w:rsid w:val="00530DDD"/>
    <w:rPr>
      <w:rFonts w:ascii="Cambria" w:eastAsia="Times New Roman" w:hAnsi="Cambria" w:cs="Times New Roman"/>
    </w:rPr>
  </w:style>
  <w:style w:type="paragraph" w:styleId="Verzeichnis1">
    <w:name w:val="toc 1"/>
    <w:basedOn w:val="Standard"/>
    <w:next w:val="Standard"/>
    <w:autoRedefine/>
    <w:uiPriority w:val="39"/>
    <w:rsid w:val="007D44D4"/>
    <w:pPr>
      <w:tabs>
        <w:tab w:val="left" w:pos="1134"/>
        <w:tab w:val="right" w:leader="dot" w:pos="9072"/>
      </w:tabs>
      <w:spacing w:before="240" w:after="0" w:line="240" w:lineRule="auto"/>
      <w:ind w:left="1134" w:hanging="1134"/>
    </w:pPr>
    <w:rPr>
      <w:rFonts w:eastAsia="Trebuchet MS"/>
      <w:b/>
      <w:noProof/>
      <w:sz w:val="20"/>
      <w:szCs w:val="72"/>
      <w:lang w:val="de-CH"/>
    </w:rPr>
  </w:style>
  <w:style w:type="paragraph" w:styleId="Abbildungsverzeichnis">
    <w:name w:val="table of figures"/>
    <w:basedOn w:val="Standard"/>
    <w:next w:val="Standard"/>
    <w:uiPriority w:val="99"/>
    <w:rsid w:val="00530DDD"/>
    <w:pPr>
      <w:spacing w:after="400" w:line="280" w:lineRule="exact"/>
      <w:ind w:left="400" w:hanging="400"/>
      <w:contextualSpacing/>
    </w:pPr>
    <w:rPr>
      <w:rFonts w:ascii="Trebuchet MS" w:eastAsia="Trebuchet MS" w:hAnsi="Trebuchet MS"/>
      <w:sz w:val="20"/>
    </w:rPr>
  </w:style>
  <w:style w:type="paragraph" w:styleId="Verzeichnis2">
    <w:name w:val="toc 2"/>
    <w:basedOn w:val="Standard"/>
    <w:next w:val="Standard"/>
    <w:autoRedefine/>
    <w:uiPriority w:val="39"/>
    <w:rsid w:val="007D44D4"/>
    <w:pPr>
      <w:tabs>
        <w:tab w:val="left" w:pos="1134"/>
        <w:tab w:val="right" w:leader="dot" w:pos="9072"/>
      </w:tabs>
      <w:spacing w:before="120" w:after="0" w:line="240" w:lineRule="auto"/>
      <w:ind w:left="1134" w:hanging="1134"/>
    </w:pPr>
    <w:rPr>
      <w:rFonts w:eastAsia="Trebuchet MS"/>
      <w:sz w:val="20"/>
    </w:rPr>
  </w:style>
  <w:style w:type="paragraph" w:styleId="Verzeichnis3">
    <w:name w:val="toc 3"/>
    <w:basedOn w:val="Standard"/>
    <w:next w:val="Standard"/>
    <w:autoRedefine/>
    <w:uiPriority w:val="39"/>
    <w:rsid w:val="007D44D4"/>
    <w:pPr>
      <w:tabs>
        <w:tab w:val="left" w:pos="1134"/>
        <w:tab w:val="right" w:leader="dot" w:pos="9070"/>
      </w:tabs>
      <w:spacing w:before="60" w:after="0" w:line="240" w:lineRule="auto"/>
      <w:ind w:left="1134" w:hanging="1134"/>
    </w:pPr>
    <w:rPr>
      <w:rFonts w:eastAsia="Trebuchet MS"/>
      <w:sz w:val="20"/>
    </w:rPr>
  </w:style>
  <w:style w:type="paragraph" w:styleId="Verzeichnis4">
    <w:name w:val="toc 4"/>
    <w:basedOn w:val="Standard"/>
    <w:next w:val="Standard"/>
    <w:autoRedefine/>
    <w:uiPriority w:val="39"/>
    <w:rsid w:val="007D44D4"/>
    <w:pPr>
      <w:pBdr>
        <w:between w:val="double" w:sz="6" w:space="0" w:color="auto"/>
      </w:pBdr>
      <w:tabs>
        <w:tab w:val="left" w:pos="1134"/>
        <w:tab w:val="right" w:leader="dot" w:pos="9542"/>
      </w:tabs>
      <w:spacing w:after="0" w:line="240" w:lineRule="auto"/>
      <w:ind w:left="1134" w:hanging="1134"/>
    </w:pPr>
    <w:rPr>
      <w:rFonts w:eastAsia="Trebuchet MS"/>
      <w:noProof/>
      <w:sz w:val="20"/>
      <w:szCs w:val="20"/>
    </w:rPr>
  </w:style>
  <w:style w:type="character" w:customStyle="1" w:styleId="FormatvorlageSoreco">
    <w:name w:val="Formatvorlage Soreco"/>
    <w:rsid w:val="00530DDD"/>
    <w:rPr>
      <w:rFonts w:ascii="Trebuchet MS" w:hAnsi="Trebuchet MS"/>
    </w:rPr>
  </w:style>
  <w:style w:type="character" w:styleId="Hyperlink">
    <w:name w:val="Hyperlink"/>
    <w:uiPriority w:val="99"/>
    <w:unhideWhenUsed/>
    <w:rsid w:val="00530DDD"/>
    <w:rPr>
      <w:color w:val="0000FF"/>
      <w:u w:val="single"/>
    </w:rPr>
  </w:style>
  <w:style w:type="paragraph" w:customStyle="1" w:styleId="Default">
    <w:name w:val="Default"/>
    <w:rsid w:val="00731165"/>
    <w:pPr>
      <w:autoSpaceDE w:val="0"/>
      <w:autoSpaceDN w:val="0"/>
      <w:adjustRightInd w:val="0"/>
    </w:pPr>
    <w:rPr>
      <w:rFonts w:eastAsia="Times New Roman" w:cs="Calibri"/>
      <w:color w:val="000000"/>
      <w:sz w:val="24"/>
      <w:szCs w:val="24"/>
    </w:rPr>
  </w:style>
  <w:style w:type="paragraph" w:styleId="Sprechblasentext">
    <w:name w:val="Balloon Text"/>
    <w:basedOn w:val="Standard"/>
    <w:link w:val="SprechblasentextZchn"/>
    <w:uiPriority w:val="99"/>
    <w:semiHidden/>
    <w:unhideWhenUsed/>
    <w:rsid w:val="00224CE7"/>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224CE7"/>
    <w:rPr>
      <w:rFonts w:ascii="Segoe UI" w:hAnsi="Segoe UI" w:cs="Segoe UI"/>
      <w:sz w:val="18"/>
      <w:szCs w:val="18"/>
      <w:lang w:val="de-DE"/>
    </w:rPr>
  </w:style>
  <w:style w:type="character" w:styleId="Kommentarzeichen">
    <w:name w:val="annotation reference"/>
    <w:rsid w:val="00CB679E"/>
    <w:rPr>
      <w:sz w:val="16"/>
      <w:szCs w:val="16"/>
    </w:rPr>
  </w:style>
  <w:style w:type="paragraph" w:styleId="Kommentartext">
    <w:name w:val="annotation text"/>
    <w:basedOn w:val="Standard"/>
    <w:link w:val="KommentartextZchn"/>
    <w:rsid w:val="00CB679E"/>
    <w:pPr>
      <w:spacing w:after="0" w:line="240" w:lineRule="auto"/>
    </w:pPr>
    <w:rPr>
      <w:rFonts w:ascii="Arial" w:eastAsia="Times New Roman" w:hAnsi="Arial"/>
      <w:sz w:val="20"/>
      <w:szCs w:val="20"/>
      <w:lang w:eastAsia="de-DE"/>
    </w:rPr>
  </w:style>
  <w:style w:type="character" w:customStyle="1" w:styleId="KommentartextZchn">
    <w:name w:val="Kommentartext Zchn"/>
    <w:link w:val="Kommentartext"/>
    <w:rsid w:val="00CB679E"/>
    <w:rPr>
      <w:rFonts w:ascii="Arial" w:eastAsia="Times New Roman" w:hAnsi="Arial"/>
      <w:lang w:val="de-DE" w:eastAsia="de-DE"/>
    </w:rPr>
  </w:style>
  <w:style w:type="paragraph" w:styleId="Listenabsatz">
    <w:name w:val="List Paragraph"/>
    <w:basedOn w:val="Standard"/>
    <w:uiPriority w:val="34"/>
    <w:qFormat/>
    <w:rsid w:val="00CB679E"/>
    <w:pPr>
      <w:spacing w:after="0" w:line="240" w:lineRule="auto"/>
      <w:ind w:left="708"/>
    </w:pPr>
    <w:rPr>
      <w:rFonts w:ascii="Arial" w:eastAsia="Times New Roman" w:hAnsi="Arial"/>
      <w:sz w:val="20"/>
      <w:szCs w:val="20"/>
      <w:lang w:eastAsia="de-DE"/>
    </w:rPr>
  </w:style>
  <w:style w:type="paragraph" w:styleId="Inhaltsverzeichnisberschrift">
    <w:name w:val="TOC Heading"/>
    <w:basedOn w:val="berschrift1"/>
    <w:next w:val="Standard"/>
    <w:uiPriority w:val="39"/>
    <w:unhideWhenUsed/>
    <w:qFormat/>
    <w:rsid w:val="007D44D4"/>
    <w:pPr>
      <w:numPr>
        <w:numId w:val="0"/>
      </w:numPr>
      <w:pBdr>
        <w:bottom w:val="none" w:sz="0" w:space="0" w:color="auto"/>
      </w:pBdr>
      <w:tabs>
        <w:tab w:val="clear" w:pos="9498"/>
      </w:tabs>
      <w:spacing w:before="240" w:after="0" w:line="259" w:lineRule="auto"/>
      <w:contextualSpacing w:val="0"/>
      <w:outlineLvl w:val="9"/>
    </w:pPr>
    <w:rPr>
      <w:b w:val="0"/>
      <w:bCs w:val="0"/>
      <w:color w:val="2E74B5"/>
      <w:sz w:val="32"/>
      <w:szCs w:val="32"/>
      <w:lang w:val="en-US"/>
    </w:rPr>
  </w:style>
  <w:style w:type="paragraph" w:styleId="Index1">
    <w:name w:val="index 1"/>
    <w:basedOn w:val="Standard"/>
    <w:next w:val="Standard"/>
    <w:autoRedefine/>
    <w:uiPriority w:val="99"/>
    <w:semiHidden/>
    <w:unhideWhenUsed/>
    <w:rsid w:val="0097365C"/>
    <w:pPr>
      <w:ind w:left="220" w:hanging="220"/>
    </w:pPr>
  </w:style>
  <w:style w:type="paragraph" w:styleId="Index3">
    <w:name w:val="index 3"/>
    <w:basedOn w:val="Standard"/>
    <w:next w:val="Standard"/>
    <w:autoRedefine/>
    <w:uiPriority w:val="99"/>
    <w:semiHidden/>
    <w:unhideWhenUsed/>
    <w:rsid w:val="0097365C"/>
    <w:pPr>
      <w:ind w:left="660" w:hanging="220"/>
    </w:pPr>
  </w:style>
  <w:style w:type="paragraph" w:styleId="KeinLeerraum">
    <w:name w:val="No Spacing"/>
    <w:link w:val="KeinLeerraumZchn"/>
    <w:uiPriority w:val="1"/>
    <w:qFormat/>
    <w:rsid w:val="00015C0A"/>
    <w:rPr>
      <w:rFonts w:eastAsia="Times New Roman"/>
      <w:sz w:val="22"/>
      <w:szCs w:val="22"/>
      <w:lang w:val="en-US" w:eastAsia="en-US"/>
    </w:rPr>
  </w:style>
  <w:style w:type="paragraph" w:styleId="Verzeichnis5">
    <w:name w:val="toc 5"/>
    <w:basedOn w:val="Standard"/>
    <w:next w:val="Standard"/>
    <w:autoRedefine/>
    <w:uiPriority w:val="39"/>
    <w:semiHidden/>
    <w:unhideWhenUsed/>
    <w:rsid w:val="007D44D4"/>
    <w:pPr>
      <w:ind w:left="880"/>
    </w:pPr>
  </w:style>
  <w:style w:type="paragraph" w:styleId="Verzeichnis9">
    <w:name w:val="toc 9"/>
    <w:basedOn w:val="Standard"/>
    <w:next w:val="Standard"/>
    <w:autoRedefine/>
    <w:uiPriority w:val="39"/>
    <w:semiHidden/>
    <w:unhideWhenUsed/>
    <w:rsid w:val="007D44D4"/>
    <w:pPr>
      <w:ind w:left="1760"/>
    </w:pPr>
  </w:style>
  <w:style w:type="character" w:customStyle="1" w:styleId="KeinLeerraumZchn">
    <w:name w:val="Kein Leerraum Zchn"/>
    <w:link w:val="KeinLeerraum"/>
    <w:uiPriority w:val="1"/>
    <w:rsid w:val="00015C0A"/>
    <w:rPr>
      <w:rFonts w:eastAsia="Times New Roman"/>
      <w:sz w:val="22"/>
      <w:szCs w:val="22"/>
    </w:rPr>
  </w:style>
  <w:style w:type="paragraph" w:styleId="berarbeitung">
    <w:name w:val="Revision"/>
    <w:hidden/>
    <w:uiPriority w:val="99"/>
    <w:semiHidden/>
    <w:rsid w:val="00E93918"/>
    <w:rPr>
      <w:rFonts w:ascii="Calibri Light" w:hAnsi="Calibri Light"/>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61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51019\Desktop\Vorlagen\Dokument_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AF0D409BC3F7A40A581B1572A226C3D" ma:contentTypeVersion="7" ma:contentTypeDescription="Ein neues Dokument erstellen." ma:contentTypeScope="" ma:versionID="c2145e6ec43a0fa7771b03bf3c814193">
  <xsd:schema xmlns:xsd="http://www.w3.org/2001/XMLSchema" xmlns:xs="http://www.w3.org/2001/XMLSchema" xmlns:p="http://schemas.microsoft.com/office/2006/metadata/properties" xmlns:ns1="http://schemas.microsoft.com/sharepoint/v3" xmlns:ns2="a364ecbb-3797-481c-80a4-1393bc74d2e8" xmlns:ns3="e79e0c2c-2447-4dc7-8407-c38986fe01bd" targetNamespace="http://schemas.microsoft.com/office/2006/metadata/properties" ma:root="true" ma:fieldsID="6a93a56e0e0492a274f79e40057b81ac" ns1:_="" ns2:_="" ns3:_="">
    <xsd:import namespace="http://schemas.microsoft.com/sharepoint/v3"/>
    <xsd:import namespace="a364ecbb-3797-481c-80a4-1393bc74d2e8"/>
    <xsd:import namespace="e79e0c2c-2447-4dc7-8407-c38986fe01b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64ecbb-3797-481c-80a4-1393bc74d2e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9e0c2c-2447-4dc7-8407-c38986fe01bd"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e79e0c2c-2447-4dc7-8407-c38986fe01bd">
      <UserInfo>
        <DisplayName>Locher Joachim</DisplayName>
        <AccountId>558</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E3F70F-6728-43BE-9E74-E90261E61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64ecbb-3797-481c-80a4-1393bc74d2e8"/>
    <ds:schemaRef ds:uri="e79e0c2c-2447-4dc7-8407-c38986fe01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7953FD-8C59-4DE6-875D-479814B5CE21}">
  <ds:schemaRefs>
    <ds:schemaRef ds:uri="http://schemas.microsoft.com/office/2006/metadata/properties"/>
    <ds:schemaRef ds:uri="http://schemas.microsoft.com/office/infopath/2007/PartnerControls"/>
    <ds:schemaRef ds:uri="http://schemas.microsoft.com/sharepoint/v3"/>
    <ds:schemaRef ds:uri="e79e0c2c-2447-4dc7-8407-c38986fe01bd"/>
  </ds:schemaRefs>
</ds:datastoreItem>
</file>

<file path=customXml/itemProps3.xml><?xml version="1.0" encoding="utf-8"?>
<ds:datastoreItem xmlns:ds="http://schemas.openxmlformats.org/officeDocument/2006/customXml" ds:itemID="{6A1E9F01-62A3-4447-8343-24228C441024}">
  <ds:schemaRefs>
    <ds:schemaRef ds:uri="http://schemas.openxmlformats.org/officeDocument/2006/bibliography"/>
  </ds:schemaRefs>
</ds:datastoreItem>
</file>

<file path=customXml/itemProps4.xml><?xml version="1.0" encoding="utf-8"?>
<ds:datastoreItem xmlns:ds="http://schemas.openxmlformats.org/officeDocument/2006/customXml" ds:itemID="{AA30C59D-6D7C-4661-9835-FF7962F98A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Dokument_Vorlage.dotx</Template>
  <TotalTime>0</TotalTime>
  <Pages>7</Pages>
  <Words>1678</Words>
  <Characters>10578</Characters>
  <Application>Microsoft Office Word</Application>
  <DocSecurity>0</DocSecurity>
  <Lines>88</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vt:lpstr>
      <vt:lpstr>Titel</vt:lpstr>
    </vt:vector>
  </TitlesOfParts>
  <Company>NBHX Trim Group</Company>
  <LinksUpToDate>false</LinksUpToDate>
  <CharactersWithSpaces>12232</CharactersWithSpaces>
  <SharedDoc>false</SharedDoc>
  <HLinks>
    <vt:vector size="66" baseType="variant">
      <vt:variant>
        <vt:i4>1376306</vt:i4>
      </vt:variant>
      <vt:variant>
        <vt:i4>62</vt:i4>
      </vt:variant>
      <vt:variant>
        <vt:i4>0</vt:i4>
      </vt:variant>
      <vt:variant>
        <vt:i4>5</vt:i4>
      </vt:variant>
      <vt:variant>
        <vt:lpwstr/>
      </vt:variant>
      <vt:variant>
        <vt:lpwstr>_Toc479663901</vt:lpwstr>
      </vt:variant>
      <vt:variant>
        <vt:i4>1376306</vt:i4>
      </vt:variant>
      <vt:variant>
        <vt:i4>56</vt:i4>
      </vt:variant>
      <vt:variant>
        <vt:i4>0</vt:i4>
      </vt:variant>
      <vt:variant>
        <vt:i4>5</vt:i4>
      </vt:variant>
      <vt:variant>
        <vt:lpwstr/>
      </vt:variant>
      <vt:variant>
        <vt:lpwstr>_Toc479663900</vt:lpwstr>
      </vt:variant>
      <vt:variant>
        <vt:i4>1835059</vt:i4>
      </vt:variant>
      <vt:variant>
        <vt:i4>50</vt:i4>
      </vt:variant>
      <vt:variant>
        <vt:i4>0</vt:i4>
      </vt:variant>
      <vt:variant>
        <vt:i4>5</vt:i4>
      </vt:variant>
      <vt:variant>
        <vt:lpwstr/>
      </vt:variant>
      <vt:variant>
        <vt:lpwstr>_Toc479663899</vt:lpwstr>
      </vt:variant>
      <vt:variant>
        <vt:i4>1835059</vt:i4>
      </vt:variant>
      <vt:variant>
        <vt:i4>44</vt:i4>
      </vt:variant>
      <vt:variant>
        <vt:i4>0</vt:i4>
      </vt:variant>
      <vt:variant>
        <vt:i4>5</vt:i4>
      </vt:variant>
      <vt:variant>
        <vt:lpwstr/>
      </vt:variant>
      <vt:variant>
        <vt:lpwstr>_Toc479663898</vt:lpwstr>
      </vt:variant>
      <vt:variant>
        <vt:i4>1835059</vt:i4>
      </vt:variant>
      <vt:variant>
        <vt:i4>38</vt:i4>
      </vt:variant>
      <vt:variant>
        <vt:i4>0</vt:i4>
      </vt:variant>
      <vt:variant>
        <vt:i4>5</vt:i4>
      </vt:variant>
      <vt:variant>
        <vt:lpwstr/>
      </vt:variant>
      <vt:variant>
        <vt:lpwstr>_Toc479663897</vt:lpwstr>
      </vt:variant>
      <vt:variant>
        <vt:i4>1835059</vt:i4>
      </vt:variant>
      <vt:variant>
        <vt:i4>32</vt:i4>
      </vt:variant>
      <vt:variant>
        <vt:i4>0</vt:i4>
      </vt:variant>
      <vt:variant>
        <vt:i4>5</vt:i4>
      </vt:variant>
      <vt:variant>
        <vt:lpwstr/>
      </vt:variant>
      <vt:variant>
        <vt:lpwstr>_Toc479663896</vt:lpwstr>
      </vt:variant>
      <vt:variant>
        <vt:i4>1835059</vt:i4>
      </vt:variant>
      <vt:variant>
        <vt:i4>26</vt:i4>
      </vt:variant>
      <vt:variant>
        <vt:i4>0</vt:i4>
      </vt:variant>
      <vt:variant>
        <vt:i4>5</vt:i4>
      </vt:variant>
      <vt:variant>
        <vt:lpwstr/>
      </vt:variant>
      <vt:variant>
        <vt:lpwstr>_Toc479663895</vt:lpwstr>
      </vt:variant>
      <vt:variant>
        <vt:i4>1835059</vt:i4>
      </vt:variant>
      <vt:variant>
        <vt:i4>20</vt:i4>
      </vt:variant>
      <vt:variant>
        <vt:i4>0</vt:i4>
      </vt:variant>
      <vt:variant>
        <vt:i4>5</vt:i4>
      </vt:variant>
      <vt:variant>
        <vt:lpwstr/>
      </vt:variant>
      <vt:variant>
        <vt:lpwstr>_Toc479663894</vt:lpwstr>
      </vt:variant>
      <vt:variant>
        <vt:i4>1835059</vt:i4>
      </vt:variant>
      <vt:variant>
        <vt:i4>14</vt:i4>
      </vt:variant>
      <vt:variant>
        <vt:i4>0</vt:i4>
      </vt:variant>
      <vt:variant>
        <vt:i4>5</vt:i4>
      </vt:variant>
      <vt:variant>
        <vt:lpwstr/>
      </vt:variant>
      <vt:variant>
        <vt:lpwstr>_Toc479663893</vt:lpwstr>
      </vt:variant>
      <vt:variant>
        <vt:i4>1835059</vt:i4>
      </vt:variant>
      <vt:variant>
        <vt:i4>8</vt:i4>
      </vt:variant>
      <vt:variant>
        <vt:i4>0</vt:i4>
      </vt:variant>
      <vt:variant>
        <vt:i4>5</vt:i4>
      </vt:variant>
      <vt:variant>
        <vt:lpwstr/>
      </vt:variant>
      <vt:variant>
        <vt:lpwstr>_Toc479663892</vt:lpwstr>
      </vt:variant>
      <vt:variant>
        <vt:i4>1835059</vt:i4>
      </vt:variant>
      <vt:variant>
        <vt:i4>2</vt:i4>
      </vt:variant>
      <vt:variant>
        <vt:i4>0</vt:i4>
      </vt:variant>
      <vt:variant>
        <vt:i4>5</vt:i4>
      </vt:variant>
      <vt:variant>
        <vt:lpwstr/>
      </vt:variant>
      <vt:variant>
        <vt:lpwstr>_Toc479663891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Bracko Sandra</dc:creator>
  <cp:keywords/>
  <dc:description>Author | Position | Date</dc:description>
  <cp:lastModifiedBy>Tschuertz Uwe</cp:lastModifiedBy>
  <cp:revision>3</cp:revision>
  <cp:lastPrinted>2017-03-24T12:14:00Z</cp:lastPrinted>
  <dcterms:created xsi:type="dcterms:W3CDTF">2022-08-17T11:42:00Z</dcterms:created>
  <dcterms:modified xsi:type="dcterms:W3CDTF">2022-08-17T12:00:00Z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0x0101004AF0D409BC3F7A40A581B1572A226C3D</vt:lpwstr>
  </property>
</Properties>
</file>